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52E4" w14:textId="77777777" w:rsidR="00C30560" w:rsidRPr="00CE0C70" w:rsidRDefault="008942F0" w:rsidP="00527C5F">
      <w:pPr>
        <w:jc w:val="center"/>
        <w:rPr>
          <w:rFonts w:ascii="Merriweather" w:hAnsi="Merriweather" w:cs="Times New Roman"/>
          <w:b/>
          <w:color w:val="000000" w:themeColor="text1"/>
          <w:sz w:val="18"/>
          <w:szCs w:val="18"/>
        </w:rPr>
      </w:pPr>
      <w:r w:rsidRPr="00CE0C70">
        <w:rPr>
          <w:rFonts w:ascii="Merriweather" w:hAnsi="Merriweather" w:cs="Times New Roman"/>
          <w:b/>
          <w:color w:val="000000" w:themeColor="text1"/>
          <w:sz w:val="18"/>
          <w:szCs w:val="18"/>
        </w:rPr>
        <w:t>Izvedbeni plan nastave (</w:t>
      </w:r>
      <w:proofErr w:type="spellStart"/>
      <w:r w:rsidR="0010332B" w:rsidRPr="00CE0C70">
        <w:rPr>
          <w:rFonts w:ascii="Merriweather" w:hAnsi="Merriweather" w:cs="Times New Roman"/>
          <w:b/>
          <w:i/>
          <w:color w:val="000000" w:themeColor="text1"/>
          <w:sz w:val="18"/>
          <w:szCs w:val="18"/>
        </w:rPr>
        <w:t>syllabus</w:t>
      </w:r>
      <w:proofErr w:type="spellEnd"/>
      <w:r w:rsidR="00F82834" w:rsidRPr="00CE0C70">
        <w:rPr>
          <w:rStyle w:val="Referencafusnote"/>
          <w:rFonts w:ascii="Merriweather" w:hAnsi="Merriweather" w:cs="Times New Roman"/>
          <w:color w:val="000000" w:themeColor="text1"/>
          <w:sz w:val="18"/>
          <w:szCs w:val="18"/>
        </w:rPr>
        <w:footnoteReference w:id="1"/>
      </w:r>
      <w:r w:rsidRPr="00CE0C70">
        <w:rPr>
          <w:rFonts w:ascii="Merriweather" w:hAnsi="Merriweather" w:cs="Times New Roman"/>
          <w:b/>
          <w:color w:val="000000" w:themeColor="text1"/>
          <w:sz w:val="18"/>
          <w:szCs w:val="18"/>
        </w:rPr>
        <w:t>)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732"/>
        <w:gridCol w:w="404"/>
        <w:gridCol w:w="408"/>
        <w:gridCol w:w="286"/>
        <w:gridCol w:w="122"/>
        <w:gridCol w:w="162"/>
        <w:gridCol w:w="142"/>
        <w:gridCol w:w="103"/>
        <w:gridCol w:w="70"/>
        <w:gridCol w:w="110"/>
        <w:gridCol w:w="56"/>
        <w:gridCol w:w="369"/>
        <w:gridCol w:w="267"/>
        <w:gridCol w:w="17"/>
        <w:gridCol w:w="283"/>
        <w:gridCol w:w="709"/>
        <w:gridCol w:w="89"/>
        <w:gridCol w:w="195"/>
        <w:gridCol w:w="850"/>
        <w:gridCol w:w="142"/>
        <w:gridCol w:w="142"/>
        <w:gridCol w:w="128"/>
        <w:gridCol w:w="24"/>
        <w:gridCol w:w="483"/>
        <w:gridCol w:w="78"/>
        <w:gridCol w:w="421"/>
        <w:gridCol w:w="106"/>
        <w:gridCol w:w="35"/>
        <w:gridCol w:w="42"/>
        <w:gridCol w:w="1092"/>
      </w:tblGrid>
      <w:tr w:rsidR="005B45C4" w:rsidRPr="00133FC2" w14:paraId="75F5330E" w14:textId="77777777" w:rsidTr="00CE0C70"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15F1CD06" w14:textId="77777777" w:rsidR="004B553E" w:rsidRPr="00133FC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Sastavnica</w:t>
            </w:r>
          </w:p>
        </w:tc>
        <w:tc>
          <w:tcPr>
            <w:tcW w:w="5054" w:type="dxa"/>
            <w:gridSpan w:val="21"/>
            <w:vAlign w:val="center"/>
          </w:tcPr>
          <w:p w14:paraId="78530AA3" w14:textId="17E74062" w:rsidR="004B553E" w:rsidRPr="00133FC2" w:rsidRDefault="008D7326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 xml:space="preserve">Odjel za </w:t>
            </w:r>
            <w:r w:rsidR="00DA3E8A"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ANGLISTIKU</w:t>
            </w:r>
          </w:p>
        </w:tc>
        <w:tc>
          <w:tcPr>
            <w:tcW w:w="1006" w:type="dxa"/>
            <w:gridSpan w:val="4"/>
            <w:shd w:val="clear" w:color="auto" w:fill="F2F2F2" w:themeFill="background1" w:themeFillShade="F2"/>
          </w:tcPr>
          <w:p w14:paraId="24CBF68B" w14:textId="77777777" w:rsidR="004B553E" w:rsidRPr="00133FC2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akad</w:t>
            </w:r>
            <w:proofErr w:type="spellEnd"/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. god.</w:t>
            </w:r>
          </w:p>
        </w:tc>
        <w:tc>
          <w:tcPr>
            <w:tcW w:w="1275" w:type="dxa"/>
            <w:gridSpan w:val="4"/>
            <w:vAlign w:val="center"/>
          </w:tcPr>
          <w:p w14:paraId="3FBDF88E" w14:textId="470350CB" w:rsidR="004B553E" w:rsidRPr="00133FC2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202</w:t>
            </w:r>
            <w:r w:rsidR="006E2613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4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./202</w:t>
            </w:r>
            <w:r w:rsidR="006E2613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5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B45C4" w:rsidRPr="00133FC2" w14:paraId="55FC4412" w14:textId="77777777" w:rsidTr="00CE0C70">
        <w:trPr>
          <w:trHeight w:val="178"/>
        </w:trPr>
        <w:tc>
          <w:tcPr>
            <w:tcW w:w="1732" w:type="dxa"/>
            <w:shd w:val="clear" w:color="auto" w:fill="F2F2F2" w:themeFill="background1" w:themeFillShade="F2"/>
          </w:tcPr>
          <w:p w14:paraId="5AB48743" w14:textId="77777777" w:rsidR="004B553E" w:rsidRPr="00133FC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Naziv kolegija</w:t>
            </w:r>
          </w:p>
        </w:tc>
        <w:tc>
          <w:tcPr>
            <w:tcW w:w="5054" w:type="dxa"/>
            <w:gridSpan w:val="21"/>
            <w:vAlign w:val="center"/>
          </w:tcPr>
          <w:p w14:paraId="5AB5F3D3" w14:textId="7D165B97" w:rsidR="004B553E" w:rsidRPr="00133FC2" w:rsidRDefault="00222B3E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Popularna (trivijalna) književnost i film</w:t>
            </w:r>
          </w:p>
        </w:tc>
        <w:tc>
          <w:tcPr>
            <w:tcW w:w="1006" w:type="dxa"/>
            <w:gridSpan w:val="4"/>
            <w:shd w:val="clear" w:color="auto" w:fill="F2F2F2" w:themeFill="background1" w:themeFillShade="F2"/>
          </w:tcPr>
          <w:p w14:paraId="1157C15E" w14:textId="77777777" w:rsidR="004B553E" w:rsidRPr="00133FC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ECTS</w:t>
            </w:r>
          </w:p>
        </w:tc>
        <w:tc>
          <w:tcPr>
            <w:tcW w:w="1275" w:type="dxa"/>
            <w:gridSpan w:val="4"/>
          </w:tcPr>
          <w:p w14:paraId="6EA1F336" w14:textId="38223B0D" w:rsidR="004B553E" w:rsidRPr="00133FC2" w:rsidRDefault="008D732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5B45C4" w:rsidRPr="00133FC2" w14:paraId="70662118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49CC3E48" w14:textId="77777777" w:rsidR="004B553E" w:rsidRPr="00133FC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Naziv studija</w:t>
            </w:r>
          </w:p>
        </w:tc>
        <w:tc>
          <w:tcPr>
            <w:tcW w:w="7335" w:type="dxa"/>
            <w:gridSpan w:val="29"/>
            <w:shd w:val="clear" w:color="auto" w:fill="FFFFFF" w:themeFill="background1"/>
            <w:vAlign w:val="center"/>
          </w:tcPr>
          <w:p w14:paraId="3B7E1E88" w14:textId="0C518CC7" w:rsidR="004B553E" w:rsidRPr="00133FC2" w:rsidRDefault="006841A0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Anglistika</w:t>
            </w:r>
          </w:p>
        </w:tc>
      </w:tr>
      <w:tr w:rsidR="005B45C4" w:rsidRPr="00133FC2" w14:paraId="2460F717" w14:textId="77777777" w:rsidTr="003F277D"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19107FD2" w14:textId="77777777" w:rsidR="004B553E" w:rsidRPr="00133FC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Razina studija</w:t>
            </w:r>
          </w:p>
        </w:tc>
        <w:tc>
          <w:tcPr>
            <w:tcW w:w="1697" w:type="dxa"/>
            <w:gridSpan w:val="8"/>
          </w:tcPr>
          <w:p w14:paraId="2904568F" w14:textId="3C6F1AAC" w:rsidR="004B553E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8BE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pr</w:t>
            </w:r>
            <w:r w:rsidR="00B71C73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ijedi</w:t>
            </w:r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plomski </w:t>
            </w:r>
          </w:p>
        </w:tc>
        <w:tc>
          <w:tcPr>
            <w:tcW w:w="1811" w:type="dxa"/>
            <w:gridSpan w:val="7"/>
          </w:tcPr>
          <w:p w14:paraId="2679796D" w14:textId="40B47C3F" w:rsidR="004B553E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8BE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diplomski</w:t>
            </w:r>
          </w:p>
        </w:tc>
        <w:tc>
          <w:tcPr>
            <w:tcW w:w="1546" w:type="dxa"/>
            <w:gridSpan w:val="6"/>
          </w:tcPr>
          <w:p w14:paraId="1D341D65" w14:textId="77777777" w:rsidR="004B553E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integrirani</w:t>
            </w:r>
          </w:p>
        </w:tc>
        <w:tc>
          <w:tcPr>
            <w:tcW w:w="2281" w:type="dxa"/>
            <w:gridSpan w:val="8"/>
            <w:shd w:val="clear" w:color="auto" w:fill="FFFFFF" w:themeFill="background1"/>
          </w:tcPr>
          <w:p w14:paraId="73587A83" w14:textId="77777777" w:rsidR="004B553E" w:rsidRPr="00133FC2" w:rsidRDefault="002C0471" w:rsidP="0079745E">
            <w:pPr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poslijediplomski</w:t>
            </w:r>
          </w:p>
        </w:tc>
      </w:tr>
      <w:tr w:rsidR="00133FC2" w:rsidRPr="00133FC2" w14:paraId="0B664AFC" w14:textId="77777777" w:rsidTr="00CE0C70"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36F3FECE" w14:textId="77777777" w:rsidR="004B553E" w:rsidRPr="00133FC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Godina studija</w:t>
            </w:r>
          </w:p>
        </w:tc>
        <w:tc>
          <w:tcPr>
            <w:tcW w:w="1524" w:type="dxa"/>
            <w:gridSpan w:val="6"/>
            <w:shd w:val="clear" w:color="auto" w:fill="FFFFFF" w:themeFill="background1"/>
            <w:vAlign w:val="center"/>
          </w:tcPr>
          <w:p w14:paraId="4982E952" w14:textId="5F78CFEC" w:rsidR="004B553E" w:rsidRPr="00133FC2" w:rsidRDefault="002C04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2AB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1.</w:t>
            </w:r>
          </w:p>
        </w:tc>
        <w:tc>
          <w:tcPr>
            <w:tcW w:w="1984" w:type="dxa"/>
            <w:gridSpan w:val="9"/>
            <w:shd w:val="clear" w:color="auto" w:fill="FFFFFF" w:themeFill="background1"/>
            <w:vAlign w:val="center"/>
          </w:tcPr>
          <w:p w14:paraId="3E3DC961" w14:textId="08CB6DE7" w:rsidR="004B553E" w:rsidRPr="00133FC2" w:rsidRDefault="002C04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8A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2.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636358DD" w14:textId="77777777" w:rsidR="004B553E" w:rsidRPr="00133FC2" w:rsidRDefault="002C04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3.</w:t>
            </w:r>
          </w:p>
        </w:tc>
        <w:tc>
          <w:tcPr>
            <w:tcW w:w="1417" w:type="dxa"/>
            <w:gridSpan w:val="8"/>
            <w:shd w:val="clear" w:color="auto" w:fill="FFFFFF" w:themeFill="background1"/>
            <w:vAlign w:val="center"/>
          </w:tcPr>
          <w:p w14:paraId="75551330" w14:textId="5F41D370" w:rsidR="004B553E" w:rsidRPr="00133FC2" w:rsidRDefault="002C04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2AB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4.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BCE10C5" w14:textId="3A54FF1C" w:rsidR="004B553E" w:rsidRPr="00133FC2" w:rsidRDefault="002C04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2AB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B553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5.</w:t>
            </w:r>
          </w:p>
        </w:tc>
      </w:tr>
      <w:tr w:rsidR="003F277D" w:rsidRPr="00133FC2" w14:paraId="6DFC8B34" w14:textId="77777777" w:rsidTr="00CE0C70">
        <w:trPr>
          <w:trHeight w:val="80"/>
        </w:trPr>
        <w:tc>
          <w:tcPr>
            <w:tcW w:w="1732" w:type="dxa"/>
            <w:vMerge w:val="restart"/>
          </w:tcPr>
          <w:p w14:paraId="68A392F7" w14:textId="77777777" w:rsidR="00133FC2" w:rsidRPr="00133FC2" w:rsidRDefault="00133FC2" w:rsidP="00FB00E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  <w:lang w:val="en-US"/>
              </w:rPr>
              <w:t>Semestar</w:t>
            </w:r>
            <w:proofErr w:type="spellEnd"/>
          </w:p>
        </w:tc>
        <w:tc>
          <w:tcPr>
            <w:tcW w:w="1098" w:type="dxa"/>
            <w:gridSpan w:val="3"/>
            <w:vMerge w:val="restart"/>
          </w:tcPr>
          <w:p w14:paraId="6649FB6C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  <w:lang w:val="en-US"/>
              </w:rPr>
              <w:t>☒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>Zimski</w:t>
            </w:r>
            <w:proofErr w:type="spellEnd"/>
          </w:p>
          <w:p w14:paraId="3F3F5B71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  <w:lang w:val="en-US"/>
              </w:rPr>
              <w:t>☐</w:t>
            </w:r>
            <w:proofErr w:type="spellStart"/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>Ljetni</w:t>
            </w:r>
            <w:proofErr w:type="spellEnd"/>
          </w:p>
        </w:tc>
        <w:tc>
          <w:tcPr>
            <w:tcW w:w="709" w:type="dxa"/>
            <w:gridSpan w:val="6"/>
          </w:tcPr>
          <w:p w14:paraId="7CA3C587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  <w:lang w:val="en-US"/>
              </w:rPr>
              <w:t>☐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I.</w:t>
            </w:r>
          </w:p>
        </w:tc>
        <w:tc>
          <w:tcPr>
            <w:tcW w:w="1701" w:type="dxa"/>
            <w:gridSpan w:val="6"/>
          </w:tcPr>
          <w:p w14:paraId="31DDD730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Mincho" w:hAnsi="Segoe UI Symbol" w:cs="Segoe UI Symbol"/>
                <w:color w:val="000000" w:themeColor="text1"/>
                <w:sz w:val="18"/>
                <w:szCs w:val="18"/>
                <w:lang w:val="en-US"/>
              </w:rPr>
              <w:t>☐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II.</w:t>
            </w:r>
          </w:p>
        </w:tc>
        <w:tc>
          <w:tcPr>
            <w:tcW w:w="1276" w:type="dxa"/>
            <w:gridSpan w:val="4"/>
          </w:tcPr>
          <w:p w14:paraId="26950BC1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Mincho" w:hAnsi="Segoe UI Symbol" w:cs="Segoe UI Symbol"/>
                <w:color w:val="000000" w:themeColor="text1"/>
                <w:sz w:val="18"/>
                <w:szCs w:val="18"/>
                <w:lang w:val="en-US"/>
              </w:rPr>
              <w:t>☐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III.</w:t>
            </w:r>
          </w:p>
        </w:tc>
        <w:tc>
          <w:tcPr>
            <w:tcW w:w="1417" w:type="dxa"/>
            <w:gridSpan w:val="8"/>
          </w:tcPr>
          <w:p w14:paraId="3EF0B13F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Mincho" w:hAnsi="Segoe UI Symbol" w:cs="Segoe UI Symbol"/>
                <w:color w:val="000000" w:themeColor="text1"/>
                <w:sz w:val="18"/>
                <w:szCs w:val="18"/>
                <w:lang w:val="en-US"/>
              </w:rPr>
              <w:t>☐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IV.</w:t>
            </w:r>
          </w:p>
        </w:tc>
        <w:tc>
          <w:tcPr>
            <w:tcW w:w="1134" w:type="dxa"/>
            <w:gridSpan w:val="2"/>
          </w:tcPr>
          <w:p w14:paraId="32CC9854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Mincho" w:hAnsi="Segoe UI Symbol" w:cs="Segoe UI Symbol"/>
                <w:color w:val="000000" w:themeColor="text1"/>
                <w:sz w:val="18"/>
                <w:szCs w:val="18"/>
                <w:lang w:val="en-US"/>
              </w:rPr>
              <w:t>☐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V.</w:t>
            </w:r>
          </w:p>
        </w:tc>
      </w:tr>
      <w:tr w:rsidR="003F277D" w:rsidRPr="00133FC2" w14:paraId="4A8BFE74" w14:textId="77777777" w:rsidTr="00CE0C70">
        <w:trPr>
          <w:trHeight w:val="80"/>
        </w:trPr>
        <w:tc>
          <w:tcPr>
            <w:tcW w:w="1732" w:type="dxa"/>
            <w:vMerge/>
          </w:tcPr>
          <w:p w14:paraId="0C754F0B" w14:textId="77777777" w:rsidR="00133FC2" w:rsidRPr="00133FC2" w:rsidRDefault="00133FC2" w:rsidP="00FB00E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98" w:type="dxa"/>
            <w:gridSpan w:val="3"/>
            <w:vMerge/>
          </w:tcPr>
          <w:p w14:paraId="0B6603EF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6"/>
          </w:tcPr>
          <w:p w14:paraId="63B19E5F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  <w:lang w:val="en-US"/>
              </w:rPr>
              <w:t>☐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VI.</w:t>
            </w:r>
          </w:p>
        </w:tc>
        <w:tc>
          <w:tcPr>
            <w:tcW w:w="1701" w:type="dxa"/>
            <w:gridSpan w:val="6"/>
          </w:tcPr>
          <w:p w14:paraId="30158558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Mincho" w:hAnsi="Segoe UI Symbol" w:cs="Segoe UI Symbol"/>
                <w:color w:val="000000" w:themeColor="text1"/>
                <w:sz w:val="18"/>
                <w:szCs w:val="18"/>
                <w:lang w:val="en-US"/>
              </w:rPr>
              <w:t>☐</w:t>
            </w:r>
            <w:r w:rsidRPr="00133FC2">
              <w:rPr>
                <w:rFonts w:ascii="Merriweather" w:eastAsia="MS Mincho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>VII.</w:t>
            </w:r>
          </w:p>
        </w:tc>
        <w:tc>
          <w:tcPr>
            <w:tcW w:w="1276" w:type="dxa"/>
            <w:gridSpan w:val="4"/>
          </w:tcPr>
          <w:p w14:paraId="44A94AD9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  <w:lang w:val="en-US"/>
              </w:rPr>
              <w:t>☒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VIII.</w:t>
            </w:r>
          </w:p>
        </w:tc>
        <w:tc>
          <w:tcPr>
            <w:tcW w:w="1417" w:type="dxa"/>
            <w:gridSpan w:val="8"/>
          </w:tcPr>
          <w:p w14:paraId="2DA9446B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Mincho" w:hAnsi="Segoe UI Symbol" w:cs="Segoe UI Symbol"/>
                <w:color w:val="000000" w:themeColor="text1"/>
                <w:sz w:val="18"/>
                <w:szCs w:val="18"/>
                <w:lang w:val="en-US"/>
              </w:rPr>
              <w:t>☐</w:t>
            </w:r>
            <w:r w:rsidRPr="00133FC2">
              <w:rPr>
                <w:rFonts w:ascii="Merriweather" w:eastAsia="MS Mincho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>IX.</w:t>
            </w:r>
          </w:p>
        </w:tc>
        <w:tc>
          <w:tcPr>
            <w:tcW w:w="1134" w:type="dxa"/>
            <w:gridSpan w:val="2"/>
          </w:tcPr>
          <w:p w14:paraId="51B291B0" w14:textId="77777777" w:rsidR="00133FC2" w:rsidRPr="00133FC2" w:rsidRDefault="00133FC2" w:rsidP="00FB00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  <w:r w:rsidRPr="00133FC2"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  <w:lang w:val="en-US"/>
              </w:rPr>
              <w:t>☒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  <w:t xml:space="preserve"> X.</w:t>
            </w:r>
          </w:p>
        </w:tc>
      </w:tr>
      <w:tr w:rsidR="003F277D" w:rsidRPr="00133FC2" w14:paraId="748751B9" w14:textId="77777777" w:rsidTr="00CE0C70"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1D61F2D8" w14:textId="77777777" w:rsidR="00393964" w:rsidRPr="00133FC2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Status kolegija</w:t>
            </w:r>
          </w:p>
        </w:tc>
        <w:tc>
          <w:tcPr>
            <w:tcW w:w="1098" w:type="dxa"/>
            <w:gridSpan w:val="3"/>
            <w:vAlign w:val="center"/>
          </w:tcPr>
          <w:p w14:paraId="51AE06E2" w14:textId="3A6B7232" w:rsidR="00393964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3E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93964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obvezni</w:t>
            </w:r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kolegij</w:t>
            </w:r>
          </w:p>
        </w:tc>
        <w:tc>
          <w:tcPr>
            <w:tcW w:w="1418" w:type="dxa"/>
            <w:gridSpan w:val="10"/>
            <w:vAlign w:val="center"/>
          </w:tcPr>
          <w:p w14:paraId="1C4AF1B5" w14:textId="492B11C1" w:rsidR="00393964" w:rsidRPr="00133FC2" w:rsidRDefault="002C047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3E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393964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izborni</w:t>
            </w:r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kolegij</w:t>
            </w:r>
          </w:p>
        </w:tc>
        <w:tc>
          <w:tcPr>
            <w:tcW w:w="2268" w:type="dxa"/>
            <w:gridSpan w:val="6"/>
            <w:vAlign w:val="center"/>
          </w:tcPr>
          <w:p w14:paraId="02276BEC" w14:textId="002B9F27" w:rsidR="00393964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70"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393964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izborni </w:t>
            </w:r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kolegij </w:t>
            </w:r>
            <w:r w:rsidR="00393964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koji se nudi studentima drugih odjela</w:t>
            </w:r>
          </w:p>
        </w:tc>
        <w:tc>
          <w:tcPr>
            <w:tcW w:w="1459" w:type="dxa"/>
            <w:gridSpan w:val="9"/>
            <w:shd w:val="clear" w:color="auto" w:fill="F2F2F2" w:themeFill="background1" w:themeFillShade="F2"/>
            <w:vAlign w:val="center"/>
          </w:tcPr>
          <w:p w14:paraId="3D63F4EE" w14:textId="77777777" w:rsidR="00393964" w:rsidRPr="00133FC2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Nastavničke kompetencije</w:t>
            </w:r>
          </w:p>
        </w:tc>
        <w:tc>
          <w:tcPr>
            <w:tcW w:w="1092" w:type="dxa"/>
            <w:vAlign w:val="center"/>
          </w:tcPr>
          <w:p w14:paraId="3EB83125" w14:textId="77777777" w:rsidR="00393964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93964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DA</w:t>
            </w:r>
          </w:p>
          <w:p w14:paraId="3B422B63" w14:textId="66BA2EB5" w:rsidR="00393964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326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393964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NE</w:t>
            </w:r>
          </w:p>
        </w:tc>
      </w:tr>
      <w:tr w:rsidR="005B45C4" w:rsidRPr="00133FC2" w14:paraId="7DD5DF58" w14:textId="77777777" w:rsidTr="00CE0C70">
        <w:tc>
          <w:tcPr>
            <w:tcW w:w="1732" w:type="dxa"/>
            <w:shd w:val="clear" w:color="auto" w:fill="F2F2F2" w:themeFill="background1" w:themeFillShade="F2"/>
          </w:tcPr>
          <w:p w14:paraId="06572178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Opterećenje</w:t>
            </w:r>
            <w:r w:rsidR="00FC2198"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4" w:type="dxa"/>
          </w:tcPr>
          <w:p w14:paraId="57ABA46D" w14:textId="77FB46D2" w:rsidR="00453362" w:rsidRPr="00133FC2" w:rsidRDefault="009718BE" w:rsidP="00D5523D">
            <w:pPr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08" w:type="dxa"/>
          </w:tcPr>
          <w:p w14:paraId="6ECFCD66" w14:textId="77777777" w:rsidR="00453362" w:rsidRPr="00133FC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408" w:type="dxa"/>
            <w:gridSpan w:val="2"/>
          </w:tcPr>
          <w:p w14:paraId="3507C029" w14:textId="6CD49CC8" w:rsidR="00453362" w:rsidRPr="00133FC2" w:rsidRDefault="00FF400A" w:rsidP="00FF1020">
            <w:pPr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07" w:type="dxa"/>
            <w:gridSpan w:val="3"/>
          </w:tcPr>
          <w:p w14:paraId="0563B359" w14:textId="77777777" w:rsidR="00453362" w:rsidRPr="00133FC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36" w:type="dxa"/>
            <w:gridSpan w:val="3"/>
          </w:tcPr>
          <w:p w14:paraId="5CE417A0" w14:textId="266FB7CB" w:rsidR="00453362" w:rsidRPr="00133FC2" w:rsidRDefault="00FF400A" w:rsidP="00D5523D">
            <w:pPr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</w:tcPr>
          <w:p w14:paraId="356B3B1A" w14:textId="77777777" w:rsidR="00453362" w:rsidRPr="00133FC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3062" w:type="dxa"/>
            <w:gridSpan w:val="11"/>
            <w:shd w:val="clear" w:color="auto" w:fill="F2F2F2" w:themeFill="background1" w:themeFillShade="F2"/>
          </w:tcPr>
          <w:p w14:paraId="6DC73673" w14:textId="77777777" w:rsidR="00453362" w:rsidRPr="00133FC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Mrežne stranice kolegija</w:t>
            </w:r>
          </w:p>
        </w:tc>
        <w:tc>
          <w:tcPr>
            <w:tcW w:w="1774" w:type="dxa"/>
            <w:gridSpan w:val="6"/>
          </w:tcPr>
          <w:p w14:paraId="0E80CA19" w14:textId="5943272C" w:rsidR="00453362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326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NE</w:t>
            </w:r>
          </w:p>
        </w:tc>
      </w:tr>
      <w:tr w:rsidR="003F277D" w:rsidRPr="00133FC2" w14:paraId="6CBB0452" w14:textId="77777777" w:rsidTr="003F277D">
        <w:tc>
          <w:tcPr>
            <w:tcW w:w="1732" w:type="dxa"/>
            <w:shd w:val="clear" w:color="auto" w:fill="F2F2F2" w:themeFill="background1" w:themeFillShade="F2"/>
          </w:tcPr>
          <w:p w14:paraId="10E63100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Mjesto i vrijeme izvođenja nastave</w:t>
            </w:r>
          </w:p>
        </w:tc>
        <w:tc>
          <w:tcPr>
            <w:tcW w:w="2499" w:type="dxa"/>
            <w:gridSpan w:val="12"/>
            <w:vAlign w:val="center"/>
          </w:tcPr>
          <w:p w14:paraId="3D4AE4C2" w14:textId="77777777" w:rsidR="00DA3E8A" w:rsidRPr="00133FC2" w:rsidRDefault="00DA3E8A" w:rsidP="0079745E">
            <w:pPr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PREDAVAONICA 157</w:t>
            </w:r>
          </w:p>
          <w:p w14:paraId="69F2948E" w14:textId="6E7E9027" w:rsidR="008D7326" w:rsidRPr="00133FC2" w:rsidRDefault="00DA3E8A" w:rsidP="0079745E">
            <w:pPr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četvrtkom</w:t>
            </w:r>
            <w:r w:rsidR="00ED43AD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74C6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u</w:t>
            </w:r>
            <w:r w:rsidR="00764BC7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12</w:t>
            </w:r>
          </w:p>
        </w:tc>
        <w:tc>
          <w:tcPr>
            <w:tcW w:w="3702" w:type="dxa"/>
            <w:gridSpan w:val="15"/>
            <w:shd w:val="clear" w:color="auto" w:fill="F2F2F2" w:themeFill="background1" w:themeFillShade="F2"/>
            <w:vAlign w:val="center"/>
          </w:tcPr>
          <w:p w14:paraId="1A39F756" w14:textId="77777777" w:rsidR="00453362" w:rsidRPr="00133FC2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Jezik/jezici na kojima se izvodi kolegij</w:t>
            </w:r>
          </w:p>
        </w:tc>
        <w:tc>
          <w:tcPr>
            <w:tcW w:w="1134" w:type="dxa"/>
            <w:gridSpan w:val="2"/>
            <w:vAlign w:val="center"/>
          </w:tcPr>
          <w:p w14:paraId="3CD2595C" w14:textId="10B9293D" w:rsidR="00453362" w:rsidRPr="00133FC2" w:rsidRDefault="00DA3E8A" w:rsidP="0079745E">
            <w:pPr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ENGLESKI</w:t>
            </w:r>
          </w:p>
        </w:tc>
      </w:tr>
      <w:tr w:rsidR="003F277D" w:rsidRPr="00133FC2" w14:paraId="20EB632D" w14:textId="77777777" w:rsidTr="003F277D"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5DA1BF30" w14:textId="77777777" w:rsidR="00453362" w:rsidRPr="00133FC2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Početak nastave</w:t>
            </w:r>
          </w:p>
        </w:tc>
        <w:tc>
          <w:tcPr>
            <w:tcW w:w="2499" w:type="dxa"/>
            <w:gridSpan w:val="12"/>
          </w:tcPr>
          <w:p w14:paraId="213088F4" w14:textId="13172350" w:rsidR="00453362" w:rsidRPr="00133FC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2" w:type="dxa"/>
            <w:gridSpan w:val="15"/>
            <w:shd w:val="clear" w:color="auto" w:fill="F2F2F2" w:themeFill="background1" w:themeFillShade="F2"/>
          </w:tcPr>
          <w:p w14:paraId="5E02BD6C" w14:textId="77777777" w:rsidR="00453362" w:rsidRPr="00133FC2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Završetak nastave</w:t>
            </w:r>
          </w:p>
        </w:tc>
        <w:tc>
          <w:tcPr>
            <w:tcW w:w="1134" w:type="dxa"/>
            <w:gridSpan w:val="2"/>
          </w:tcPr>
          <w:p w14:paraId="2A29CEB3" w14:textId="7FEFB80C" w:rsidR="00453362" w:rsidRPr="00133FC2" w:rsidRDefault="006E261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29.5.2025.</w:t>
            </w:r>
          </w:p>
        </w:tc>
      </w:tr>
      <w:tr w:rsidR="005B45C4" w:rsidRPr="00133FC2" w14:paraId="4AE5B42B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01486707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Preduvjeti za upis</w:t>
            </w:r>
          </w:p>
        </w:tc>
        <w:tc>
          <w:tcPr>
            <w:tcW w:w="7335" w:type="dxa"/>
            <w:gridSpan w:val="29"/>
            <w:vAlign w:val="center"/>
          </w:tcPr>
          <w:p w14:paraId="51A53B6D" w14:textId="77777777" w:rsidR="00453362" w:rsidRPr="00133FC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7D226350" w14:textId="77777777" w:rsidTr="00133FC2">
        <w:tc>
          <w:tcPr>
            <w:tcW w:w="9067" w:type="dxa"/>
            <w:gridSpan w:val="30"/>
            <w:shd w:val="clear" w:color="auto" w:fill="D9D9D9" w:themeFill="background1" w:themeFillShade="D9"/>
          </w:tcPr>
          <w:p w14:paraId="693DA651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6E6544E2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2B48F7DD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Nositelj kolegija</w:t>
            </w:r>
          </w:p>
        </w:tc>
        <w:tc>
          <w:tcPr>
            <w:tcW w:w="7335" w:type="dxa"/>
            <w:gridSpan w:val="29"/>
            <w:vAlign w:val="center"/>
          </w:tcPr>
          <w:p w14:paraId="2959A03E" w14:textId="7AD21D09" w:rsidR="00453362" w:rsidRPr="00133FC2" w:rsidRDefault="008D73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Prof.dr.sc. </w:t>
            </w:r>
            <w:r w:rsidR="00DA3E8A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MARIO 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Vrbančić</w:t>
            </w:r>
          </w:p>
        </w:tc>
      </w:tr>
      <w:tr w:rsidR="005B45C4" w:rsidRPr="00133FC2" w14:paraId="019EAFA7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3E10948D" w14:textId="77777777" w:rsidR="00453362" w:rsidRPr="00133FC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597" w:type="dxa"/>
            <w:gridSpan w:val="16"/>
            <w:vAlign w:val="center"/>
          </w:tcPr>
          <w:p w14:paraId="388225C0" w14:textId="6C469B8F" w:rsidR="00453362" w:rsidRPr="00133FC2" w:rsidRDefault="002C04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hyperlink r:id="rId8" w:history="1">
              <w:r w:rsidR="00222B3E" w:rsidRPr="00133FC2">
                <w:rPr>
                  <w:rStyle w:val="Hiperveza"/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t>mavrbanci@unizd.hr</w:t>
              </w:r>
            </w:hyperlink>
          </w:p>
          <w:p w14:paraId="1D1FC835" w14:textId="274374A1" w:rsidR="00222B3E" w:rsidRPr="00133FC2" w:rsidRDefault="00222B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mario_exile@yahoo.co.nz</w:t>
            </w:r>
          </w:p>
        </w:tc>
        <w:tc>
          <w:tcPr>
            <w:tcW w:w="1481" w:type="dxa"/>
            <w:gridSpan w:val="6"/>
            <w:shd w:val="clear" w:color="auto" w:fill="F2F2F2" w:themeFill="background1" w:themeFillShade="F2"/>
          </w:tcPr>
          <w:p w14:paraId="67504AB4" w14:textId="77777777" w:rsidR="00453362" w:rsidRPr="00133FC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Konzultacije</w:t>
            </w:r>
          </w:p>
        </w:tc>
        <w:tc>
          <w:tcPr>
            <w:tcW w:w="2257" w:type="dxa"/>
            <w:gridSpan w:val="7"/>
            <w:vAlign w:val="center"/>
          </w:tcPr>
          <w:p w14:paraId="0E4ED71A" w14:textId="65A4335F" w:rsidR="00453362" w:rsidRPr="00133FC2" w:rsidRDefault="00DA3E8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četvrtkom</w:t>
            </w:r>
            <w:r w:rsidR="008D7326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o</w:t>
            </w:r>
            <w:r w:rsidR="00D96713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d 11 </w:t>
            </w:r>
            <w:r w:rsidR="008D7326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(</w:t>
            </w:r>
            <w:r w:rsidR="001A699C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zakazati točno vrijeme)</w:t>
            </w:r>
            <w:r w:rsidR="00B53CEE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ili ZOOM po dogovoru</w:t>
            </w:r>
          </w:p>
        </w:tc>
      </w:tr>
      <w:tr w:rsidR="005B45C4" w:rsidRPr="00133FC2" w14:paraId="7A5D4F1D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3FC55DC7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Izvođač kolegija</w:t>
            </w:r>
          </w:p>
        </w:tc>
        <w:tc>
          <w:tcPr>
            <w:tcW w:w="7335" w:type="dxa"/>
            <w:gridSpan w:val="29"/>
            <w:vAlign w:val="center"/>
          </w:tcPr>
          <w:p w14:paraId="11AB7968" w14:textId="48330DEC" w:rsidR="00453362" w:rsidRPr="00133FC2" w:rsidRDefault="008D73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Prof.dr.sc. </w:t>
            </w:r>
            <w:r w:rsidR="00DA3E8A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Mario 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Vrbančić</w:t>
            </w:r>
          </w:p>
        </w:tc>
      </w:tr>
      <w:tr w:rsidR="005B45C4" w:rsidRPr="00133FC2" w14:paraId="57702E42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68B0FE8C" w14:textId="77777777" w:rsidR="00453362" w:rsidRPr="00133FC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597" w:type="dxa"/>
            <w:gridSpan w:val="16"/>
            <w:vAlign w:val="center"/>
          </w:tcPr>
          <w:p w14:paraId="69223A2B" w14:textId="0543B8C0" w:rsidR="00453362" w:rsidRPr="00133FC2" w:rsidRDefault="00DA3E8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mavrbanci</w:t>
            </w:r>
            <w:r w:rsidR="008D7326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@unizd.hr</w:t>
            </w:r>
          </w:p>
        </w:tc>
        <w:tc>
          <w:tcPr>
            <w:tcW w:w="1481" w:type="dxa"/>
            <w:gridSpan w:val="6"/>
            <w:shd w:val="clear" w:color="auto" w:fill="F2F2F2" w:themeFill="background1" w:themeFillShade="F2"/>
          </w:tcPr>
          <w:p w14:paraId="611E6061" w14:textId="77777777" w:rsidR="00453362" w:rsidRPr="00133FC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Konzultacije</w:t>
            </w:r>
          </w:p>
        </w:tc>
        <w:tc>
          <w:tcPr>
            <w:tcW w:w="2257" w:type="dxa"/>
            <w:gridSpan w:val="7"/>
            <w:vAlign w:val="center"/>
          </w:tcPr>
          <w:p w14:paraId="6564647E" w14:textId="77777777" w:rsidR="00453362" w:rsidRPr="00133FC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16E3549A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05AB76D1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Suradnici na kolegiju</w:t>
            </w:r>
          </w:p>
        </w:tc>
        <w:tc>
          <w:tcPr>
            <w:tcW w:w="7335" w:type="dxa"/>
            <w:gridSpan w:val="29"/>
            <w:vAlign w:val="center"/>
          </w:tcPr>
          <w:p w14:paraId="1DF9E56D" w14:textId="77777777" w:rsidR="00453362" w:rsidRPr="00133FC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55B13179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2A314ECB" w14:textId="77777777" w:rsidR="00453362" w:rsidRPr="00133FC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597" w:type="dxa"/>
            <w:gridSpan w:val="16"/>
            <w:vAlign w:val="center"/>
          </w:tcPr>
          <w:p w14:paraId="40A89A16" w14:textId="77777777" w:rsidR="00453362" w:rsidRPr="00133FC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1" w:type="dxa"/>
            <w:gridSpan w:val="6"/>
            <w:shd w:val="clear" w:color="auto" w:fill="F2F2F2" w:themeFill="background1" w:themeFillShade="F2"/>
          </w:tcPr>
          <w:p w14:paraId="1F2C1DC1" w14:textId="77777777" w:rsidR="00453362" w:rsidRPr="00133FC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Konzultacije</w:t>
            </w:r>
          </w:p>
        </w:tc>
        <w:tc>
          <w:tcPr>
            <w:tcW w:w="2257" w:type="dxa"/>
            <w:gridSpan w:val="7"/>
            <w:vAlign w:val="center"/>
          </w:tcPr>
          <w:p w14:paraId="7A7E2DD5" w14:textId="77777777" w:rsidR="00453362" w:rsidRPr="00133FC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3A0316CE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09C3DAC8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Suradnici na kolegiju</w:t>
            </w:r>
          </w:p>
        </w:tc>
        <w:tc>
          <w:tcPr>
            <w:tcW w:w="7335" w:type="dxa"/>
            <w:gridSpan w:val="29"/>
            <w:vAlign w:val="center"/>
          </w:tcPr>
          <w:p w14:paraId="39ACECBE" w14:textId="77777777" w:rsidR="00453362" w:rsidRPr="00133FC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02A8B7B0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238EB840" w14:textId="77777777" w:rsidR="00453362" w:rsidRPr="00133FC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597" w:type="dxa"/>
            <w:gridSpan w:val="16"/>
            <w:vAlign w:val="center"/>
          </w:tcPr>
          <w:p w14:paraId="353F39CE" w14:textId="77777777" w:rsidR="00453362" w:rsidRPr="00133FC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1" w:type="dxa"/>
            <w:gridSpan w:val="6"/>
            <w:shd w:val="clear" w:color="auto" w:fill="F2F2F2" w:themeFill="background1" w:themeFillShade="F2"/>
          </w:tcPr>
          <w:p w14:paraId="55996369" w14:textId="77777777" w:rsidR="00453362" w:rsidRPr="00133FC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Konzultacije</w:t>
            </w:r>
          </w:p>
        </w:tc>
        <w:tc>
          <w:tcPr>
            <w:tcW w:w="2257" w:type="dxa"/>
            <w:gridSpan w:val="7"/>
            <w:vAlign w:val="center"/>
          </w:tcPr>
          <w:p w14:paraId="7887893C" w14:textId="77777777" w:rsidR="00453362" w:rsidRPr="00133FC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75C43262" w14:textId="77777777" w:rsidTr="00133FC2">
        <w:tc>
          <w:tcPr>
            <w:tcW w:w="9067" w:type="dxa"/>
            <w:gridSpan w:val="30"/>
            <w:shd w:val="clear" w:color="auto" w:fill="D9D9D9" w:themeFill="background1" w:themeFillShade="D9"/>
          </w:tcPr>
          <w:p w14:paraId="1D9B9C34" w14:textId="77777777" w:rsidR="00453362" w:rsidRPr="00133FC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3F277D" w:rsidRPr="00133FC2" w14:paraId="370E8D8F" w14:textId="77777777" w:rsidTr="00CE0C70">
        <w:tc>
          <w:tcPr>
            <w:tcW w:w="1732" w:type="dxa"/>
            <w:vMerge w:val="restart"/>
            <w:shd w:val="clear" w:color="auto" w:fill="F2F2F2" w:themeFill="background1" w:themeFillShade="F2"/>
            <w:vAlign w:val="center"/>
          </w:tcPr>
          <w:p w14:paraId="02CDD2FD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Vrste izvođenja nastave</w:t>
            </w:r>
          </w:p>
        </w:tc>
        <w:tc>
          <w:tcPr>
            <w:tcW w:w="1524" w:type="dxa"/>
            <w:gridSpan w:val="6"/>
            <w:vAlign w:val="center"/>
          </w:tcPr>
          <w:p w14:paraId="2D23F147" w14:textId="0F062A31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C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predavanja</w:t>
            </w:r>
          </w:p>
        </w:tc>
        <w:tc>
          <w:tcPr>
            <w:tcW w:w="1984" w:type="dxa"/>
            <w:gridSpan w:val="9"/>
            <w:vAlign w:val="center"/>
          </w:tcPr>
          <w:p w14:paraId="56EC0191" w14:textId="17D7E59E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C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seminari i radionice</w:t>
            </w:r>
          </w:p>
        </w:tc>
        <w:tc>
          <w:tcPr>
            <w:tcW w:w="1276" w:type="dxa"/>
            <w:gridSpan w:val="4"/>
            <w:vAlign w:val="center"/>
          </w:tcPr>
          <w:p w14:paraId="3705012D" w14:textId="77777777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vježbe</w:t>
            </w:r>
          </w:p>
        </w:tc>
        <w:tc>
          <w:tcPr>
            <w:tcW w:w="1417" w:type="dxa"/>
            <w:gridSpan w:val="8"/>
            <w:vAlign w:val="center"/>
          </w:tcPr>
          <w:p w14:paraId="560AEB98" w14:textId="77777777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134" w:type="dxa"/>
            <w:gridSpan w:val="2"/>
            <w:vAlign w:val="center"/>
          </w:tcPr>
          <w:p w14:paraId="7BFD14A9" w14:textId="77777777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terenska nastava</w:t>
            </w:r>
          </w:p>
        </w:tc>
      </w:tr>
      <w:tr w:rsidR="003F277D" w:rsidRPr="00133FC2" w14:paraId="5D4B106A" w14:textId="77777777" w:rsidTr="00CE0C70">
        <w:tc>
          <w:tcPr>
            <w:tcW w:w="1732" w:type="dxa"/>
            <w:vMerge/>
            <w:shd w:val="clear" w:color="auto" w:fill="F2F2F2" w:themeFill="background1" w:themeFillShade="F2"/>
          </w:tcPr>
          <w:p w14:paraId="44596BA9" w14:textId="77777777" w:rsidR="00453362" w:rsidRPr="00133FC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  <w:gridSpan w:val="6"/>
            <w:vAlign w:val="center"/>
          </w:tcPr>
          <w:p w14:paraId="3583FB87" w14:textId="77777777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samostalni zadaci</w:t>
            </w:r>
          </w:p>
        </w:tc>
        <w:tc>
          <w:tcPr>
            <w:tcW w:w="1984" w:type="dxa"/>
            <w:gridSpan w:val="9"/>
            <w:vAlign w:val="center"/>
          </w:tcPr>
          <w:p w14:paraId="2355284F" w14:textId="65E130F1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0A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multimedija i mreža</w:t>
            </w:r>
          </w:p>
        </w:tc>
        <w:tc>
          <w:tcPr>
            <w:tcW w:w="1276" w:type="dxa"/>
            <w:gridSpan w:val="4"/>
            <w:vAlign w:val="center"/>
          </w:tcPr>
          <w:p w14:paraId="14F8365E" w14:textId="77777777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laboratorij</w:t>
            </w:r>
          </w:p>
        </w:tc>
        <w:tc>
          <w:tcPr>
            <w:tcW w:w="1417" w:type="dxa"/>
            <w:gridSpan w:val="8"/>
            <w:vAlign w:val="center"/>
          </w:tcPr>
          <w:p w14:paraId="114A7B8F" w14:textId="77777777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mentorski rad</w:t>
            </w:r>
          </w:p>
        </w:tc>
        <w:tc>
          <w:tcPr>
            <w:tcW w:w="1134" w:type="dxa"/>
            <w:gridSpan w:val="2"/>
            <w:vAlign w:val="center"/>
          </w:tcPr>
          <w:p w14:paraId="7172D465" w14:textId="77777777" w:rsidR="00453362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5336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ostalo</w:t>
            </w:r>
          </w:p>
        </w:tc>
      </w:tr>
      <w:tr w:rsidR="005B45C4" w:rsidRPr="00133FC2" w14:paraId="3A9F5322" w14:textId="77777777" w:rsidTr="00CE0C70">
        <w:tc>
          <w:tcPr>
            <w:tcW w:w="3256" w:type="dxa"/>
            <w:gridSpan w:val="7"/>
            <w:shd w:val="clear" w:color="auto" w:fill="F2F2F2" w:themeFill="background1" w:themeFillShade="F2"/>
          </w:tcPr>
          <w:p w14:paraId="23C197BD" w14:textId="77777777" w:rsidR="00310F9A" w:rsidRPr="00133FC2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Ishodi učenja kolegija</w:t>
            </w:r>
          </w:p>
        </w:tc>
        <w:tc>
          <w:tcPr>
            <w:tcW w:w="5811" w:type="dxa"/>
            <w:gridSpan w:val="23"/>
            <w:vAlign w:val="center"/>
          </w:tcPr>
          <w:p w14:paraId="5EA1073F" w14:textId="07116167" w:rsidR="00222B3E" w:rsidRPr="00133FC2" w:rsidRDefault="00222B3E" w:rsidP="009718B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Primijeniti različite književne i filmske teorije za analizu popularne književnosti i filma </w:t>
            </w:r>
          </w:p>
          <w:p w14:paraId="2245D366" w14:textId="77777777" w:rsidR="00222B3E" w:rsidRPr="00133FC2" w:rsidRDefault="00222B3E" w:rsidP="009718B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Prepoznati karakteristike različitih žanrova </w:t>
            </w:r>
          </w:p>
          <w:p w14:paraId="54849383" w14:textId="576A448E" w:rsidR="00C10137" w:rsidRPr="00133FC2" w:rsidRDefault="00C10137" w:rsidP="009718B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Kritički prosuđivati o adaptaciji književnog teksta u film</w:t>
            </w:r>
          </w:p>
          <w:p w14:paraId="400A1915" w14:textId="77777777" w:rsidR="008E6D15" w:rsidRPr="00133FC2" w:rsidRDefault="00C10137" w:rsidP="008E6D15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Koristiti kritički Internet kao izvor za istraživanje</w:t>
            </w:r>
          </w:p>
          <w:p w14:paraId="7DAFB982" w14:textId="77777777" w:rsidR="008E6D15" w:rsidRPr="00133FC2" w:rsidRDefault="008E6D15" w:rsidP="008E6D15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Analizirati ključne pojmove povezane s narativnim strategijama i pitanjem subjekta (rod/klasa/rasa/dob…)</w:t>
            </w:r>
          </w:p>
          <w:p w14:paraId="54E6F058" w14:textId="5588D712" w:rsidR="003F6A02" w:rsidRPr="00133FC2" w:rsidRDefault="00C10137" w:rsidP="008E6D15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Prezentirati usmeno i pismeno svoj rad (akademski standard)</w:t>
            </w:r>
          </w:p>
        </w:tc>
      </w:tr>
      <w:tr w:rsidR="005B45C4" w:rsidRPr="00133FC2" w14:paraId="14D1F92E" w14:textId="77777777" w:rsidTr="00CE0C70">
        <w:tc>
          <w:tcPr>
            <w:tcW w:w="3256" w:type="dxa"/>
            <w:gridSpan w:val="7"/>
            <w:shd w:val="clear" w:color="auto" w:fill="F2F2F2" w:themeFill="background1" w:themeFillShade="F2"/>
          </w:tcPr>
          <w:p w14:paraId="0D45202A" w14:textId="77777777" w:rsidR="00310F9A" w:rsidRPr="00133FC2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811" w:type="dxa"/>
            <w:gridSpan w:val="23"/>
            <w:vAlign w:val="center"/>
          </w:tcPr>
          <w:p w14:paraId="54E0ECFA" w14:textId="4E3E67B2" w:rsidR="00DA3E8A" w:rsidRPr="00133FC2" w:rsidRDefault="00DA3E8A" w:rsidP="00E8586F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98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prepoznati i opisati relevantne ideje i koncepte (27991) (AI</w:t>
            </w:r>
            <w:r w:rsidR="003F6A02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0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1)</w:t>
            </w:r>
          </w:p>
          <w:p w14:paraId="53F011E7" w14:textId="3DAEAA74" w:rsidR="00DA3E8A" w:rsidRPr="00133FC2" w:rsidRDefault="00DA3E8A" w:rsidP="00DA3E8A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98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povezati različite pristupe, izvore spoznaje i znanja kroz interdisciplinarni pristup (27995) (AI02)</w:t>
            </w:r>
          </w:p>
          <w:p w14:paraId="3BEBB804" w14:textId="799592ED" w:rsidR="00DA3E8A" w:rsidRPr="00133FC2" w:rsidRDefault="00DA3E8A" w:rsidP="00DA3E8A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98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primijeniti kritičan i samokritičan pristup u argumentaciji (27997) (AI03)</w:t>
            </w:r>
          </w:p>
          <w:p w14:paraId="2FEF9272" w14:textId="04B1EEEF" w:rsidR="00310F9A" w:rsidRPr="00133FC2" w:rsidRDefault="003F6A02" w:rsidP="003F6A02">
            <w:pPr>
              <w:pStyle w:val="Default"/>
              <w:numPr>
                <w:ilvl w:val="0"/>
                <w:numId w:val="13"/>
              </w:numPr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Theme="minorHAnsi" w:hAnsi="Merriweather" w:cs="Times New Roman"/>
                <w:color w:val="000000" w:themeColor="text1"/>
                <w:sz w:val="18"/>
                <w:szCs w:val="18"/>
              </w:rPr>
              <w:t xml:space="preserve">razlikovati osnovne pojmove narativa i </w:t>
            </w:r>
            <w:proofErr w:type="spellStart"/>
            <w:r w:rsidRPr="00133FC2">
              <w:rPr>
                <w:rFonts w:ascii="Merriweather" w:eastAsiaTheme="minorHAnsi" w:hAnsi="Merriweather" w:cs="Times New Roman"/>
                <w:color w:val="000000" w:themeColor="text1"/>
                <w:sz w:val="18"/>
                <w:szCs w:val="18"/>
              </w:rPr>
              <w:t>naratologije</w:t>
            </w:r>
            <w:proofErr w:type="spellEnd"/>
            <w:r w:rsidRPr="00133FC2">
              <w:rPr>
                <w:rFonts w:ascii="Merriweather" w:eastAsiaTheme="minorHAnsi" w:hAnsi="Merriweather" w:cs="Times New Roman"/>
                <w:color w:val="000000" w:themeColor="text1"/>
                <w:sz w:val="18"/>
                <w:szCs w:val="18"/>
              </w:rPr>
              <w:t xml:space="preserve"> te prikazati analizu narativa u književnosti i filmu (AI 29)</w:t>
            </w:r>
          </w:p>
        </w:tc>
      </w:tr>
      <w:tr w:rsidR="005B45C4" w:rsidRPr="00133FC2" w14:paraId="01EED406" w14:textId="77777777" w:rsidTr="00133FC2">
        <w:tc>
          <w:tcPr>
            <w:tcW w:w="9067" w:type="dxa"/>
            <w:gridSpan w:val="30"/>
            <w:shd w:val="clear" w:color="auto" w:fill="D9D9D9" w:themeFill="background1" w:themeFillShade="D9"/>
          </w:tcPr>
          <w:p w14:paraId="5651246A" w14:textId="77777777" w:rsidR="00FC2198" w:rsidRPr="00133FC2" w:rsidRDefault="00FC2198" w:rsidP="0079745E">
            <w:pPr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3F277D" w:rsidRPr="00133FC2" w14:paraId="617B851C" w14:textId="77777777" w:rsidTr="00CE0C70">
        <w:trPr>
          <w:trHeight w:val="190"/>
        </w:trPr>
        <w:tc>
          <w:tcPr>
            <w:tcW w:w="1732" w:type="dxa"/>
            <w:vMerge w:val="restart"/>
            <w:shd w:val="clear" w:color="auto" w:fill="F2F2F2" w:themeFill="background1" w:themeFillShade="F2"/>
            <w:vAlign w:val="center"/>
          </w:tcPr>
          <w:p w14:paraId="424891AB" w14:textId="77777777" w:rsidR="00FC2198" w:rsidRPr="00133FC2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Načini praćenja studenata</w:t>
            </w:r>
          </w:p>
        </w:tc>
        <w:tc>
          <w:tcPr>
            <w:tcW w:w="1524" w:type="dxa"/>
            <w:gridSpan w:val="6"/>
            <w:vAlign w:val="center"/>
          </w:tcPr>
          <w:p w14:paraId="75091C65" w14:textId="567B0190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C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pohađanje nastave</w:t>
            </w:r>
          </w:p>
        </w:tc>
        <w:tc>
          <w:tcPr>
            <w:tcW w:w="1984" w:type="dxa"/>
            <w:gridSpan w:val="9"/>
            <w:vAlign w:val="center"/>
          </w:tcPr>
          <w:p w14:paraId="79934646" w14:textId="07FA2BB0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C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priprema za nastavu</w:t>
            </w:r>
          </w:p>
        </w:tc>
        <w:tc>
          <w:tcPr>
            <w:tcW w:w="1276" w:type="dxa"/>
            <w:gridSpan w:val="4"/>
            <w:vAlign w:val="center"/>
          </w:tcPr>
          <w:p w14:paraId="21FBE7BD" w14:textId="181C044D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C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domaće zadaće</w:t>
            </w:r>
          </w:p>
        </w:tc>
        <w:tc>
          <w:tcPr>
            <w:tcW w:w="1417" w:type="dxa"/>
            <w:gridSpan w:val="8"/>
            <w:vAlign w:val="center"/>
          </w:tcPr>
          <w:p w14:paraId="57F5FE52" w14:textId="5351C503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0A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134" w:type="dxa"/>
            <w:gridSpan w:val="2"/>
            <w:vAlign w:val="center"/>
          </w:tcPr>
          <w:p w14:paraId="132A86A1" w14:textId="77777777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istraživanje</w:t>
            </w:r>
          </w:p>
        </w:tc>
      </w:tr>
      <w:tr w:rsidR="003F277D" w:rsidRPr="00133FC2" w14:paraId="461E78BC" w14:textId="77777777" w:rsidTr="00CE0C70">
        <w:trPr>
          <w:trHeight w:val="190"/>
        </w:trPr>
        <w:tc>
          <w:tcPr>
            <w:tcW w:w="1732" w:type="dxa"/>
            <w:vMerge/>
            <w:shd w:val="clear" w:color="auto" w:fill="F2F2F2" w:themeFill="background1" w:themeFillShade="F2"/>
          </w:tcPr>
          <w:p w14:paraId="5AAE6CF8" w14:textId="77777777" w:rsidR="00FC2198" w:rsidRPr="00133FC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  <w:gridSpan w:val="6"/>
            <w:vAlign w:val="center"/>
          </w:tcPr>
          <w:p w14:paraId="70975236" w14:textId="77777777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praktični rad</w:t>
            </w:r>
          </w:p>
        </w:tc>
        <w:tc>
          <w:tcPr>
            <w:tcW w:w="1984" w:type="dxa"/>
            <w:gridSpan w:val="9"/>
            <w:vAlign w:val="center"/>
          </w:tcPr>
          <w:p w14:paraId="7839E5F0" w14:textId="77777777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eksperimentalni rad</w:t>
            </w:r>
          </w:p>
        </w:tc>
        <w:tc>
          <w:tcPr>
            <w:tcW w:w="1276" w:type="dxa"/>
            <w:gridSpan w:val="4"/>
            <w:vAlign w:val="center"/>
          </w:tcPr>
          <w:p w14:paraId="60371FFF" w14:textId="5150C6E6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C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izlaganje</w:t>
            </w:r>
          </w:p>
        </w:tc>
        <w:tc>
          <w:tcPr>
            <w:tcW w:w="1417" w:type="dxa"/>
            <w:gridSpan w:val="8"/>
            <w:vAlign w:val="center"/>
          </w:tcPr>
          <w:p w14:paraId="3DD3648F" w14:textId="77777777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projekt</w:t>
            </w:r>
          </w:p>
        </w:tc>
        <w:tc>
          <w:tcPr>
            <w:tcW w:w="1134" w:type="dxa"/>
            <w:gridSpan w:val="2"/>
            <w:vAlign w:val="center"/>
          </w:tcPr>
          <w:p w14:paraId="71C5A381" w14:textId="77777777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91C60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seminar</w:t>
            </w:r>
          </w:p>
        </w:tc>
      </w:tr>
      <w:tr w:rsidR="003F277D" w:rsidRPr="00133FC2" w14:paraId="64F3E0B4" w14:textId="77777777" w:rsidTr="00CE0C70">
        <w:trPr>
          <w:trHeight w:val="190"/>
        </w:trPr>
        <w:tc>
          <w:tcPr>
            <w:tcW w:w="1732" w:type="dxa"/>
            <w:vMerge/>
            <w:shd w:val="clear" w:color="auto" w:fill="F2F2F2" w:themeFill="background1" w:themeFillShade="F2"/>
          </w:tcPr>
          <w:p w14:paraId="1A0A9B4B" w14:textId="77777777" w:rsidR="00FC2198" w:rsidRPr="00133FC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  <w:gridSpan w:val="6"/>
            <w:vAlign w:val="center"/>
          </w:tcPr>
          <w:p w14:paraId="23F43B4E" w14:textId="77777777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kolokvij(i)</w:t>
            </w:r>
          </w:p>
        </w:tc>
        <w:tc>
          <w:tcPr>
            <w:tcW w:w="1984" w:type="dxa"/>
            <w:gridSpan w:val="9"/>
            <w:vAlign w:val="center"/>
          </w:tcPr>
          <w:p w14:paraId="6B93D582" w14:textId="707D359B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2AB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pismeni ispit</w:t>
            </w:r>
          </w:p>
        </w:tc>
        <w:tc>
          <w:tcPr>
            <w:tcW w:w="1276" w:type="dxa"/>
            <w:gridSpan w:val="4"/>
            <w:vAlign w:val="center"/>
          </w:tcPr>
          <w:p w14:paraId="2172C295" w14:textId="77777777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usmeni ispit</w:t>
            </w:r>
          </w:p>
        </w:tc>
        <w:tc>
          <w:tcPr>
            <w:tcW w:w="2551" w:type="dxa"/>
            <w:gridSpan w:val="10"/>
            <w:vAlign w:val="center"/>
          </w:tcPr>
          <w:p w14:paraId="4A9F8666" w14:textId="293DB374" w:rsidR="00FC2198" w:rsidRPr="00133FC2" w:rsidRDefault="002C04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ostalo:</w:t>
            </w:r>
            <w:r w:rsidR="006732AB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esej</w:t>
            </w:r>
          </w:p>
        </w:tc>
      </w:tr>
      <w:tr w:rsidR="005B45C4" w:rsidRPr="00133FC2" w14:paraId="221F7F84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7B003792" w14:textId="77777777" w:rsidR="00FC2198" w:rsidRPr="00133FC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Uvjeti pristupanja ispitu</w:t>
            </w:r>
          </w:p>
        </w:tc>
        <w:tc>
          <w:tcPr>
            <w:tcW w:w="7335" w:type="dxa"/>
            <w:gridSpan w:val="29"/>
            <w:vAlign w:val="center"/>
          </w:tcPr>
          <w:p w14:paraId="5260E89B" w14:textId="2034B2EB" w:rsidR="001A699C" w:rsidRPr="00133FC2" w:rsidRDefault="00FC2198" w:rsidP="001A69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>održana prezentacija</w:t>
            </w:r>
            <w:r w:rsidR="006732AB"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>, održano predstavljanje teme za esej</w:t>
            </w: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AC852DB" w14:textId="24C51C43" w:rsidR="00FC2198" w:rsidRPr="00133FC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CE0C70" w:rsidRPr="00133FC2" w14:paraId="7B35838A" w14:textId="77777777" w:rsidTr="00CE0C70">
        <w:tc>
          <w:tcPr>
            <w:tcW w:w="1732" w:type="dxa"/>
            <w:shd w:val="clear" w:color="auto" w:fill="F2F2F2" w:themeFill="background1" w:themeFillShade="F2"/>
          </w:tcPr>
          <w:p w14:paraId="2D6BAA6B" w14:textId="77777777" w:rsidR="00FC2198" w:rsidRPr="00133FC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Ispitni rokovi</w:t>
            </w:r>
          </w:p>
        </w:tc>
        <w:tc>
          <w:tcPr>
            <w:tcW w:w="2232" w:type="dxa"/>
            <w:gridSpan w:val="11"/>
          </w:tcPr>
          <w:p w14:paraId="16759EF2" w14:textId="39C9EC9A" w:rsidR="00FC2198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137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zimski ispitni rok </w:t>
            </w:r>
          </w:p>
        </w:tc>
        <w:tc>
          <w:tcPr>
            <w:tcW w:w="2410" w:type="dxa"/>
            <w:gridSpan w:val="7"/>
          </w:tcPr>
          <w:p w14:paraId="395F55BF" w14:textId="21B1A82B" w:rsidR="00FC2198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70"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ljetni ispitni rok</w:t>
            </w:r>
          </w:p>
        </w:tc>
        <w:tc>
          <w:tcPr>
            <w:tcW w:w="2693" w:type="dxa"/>
            <w:gridSpan w:val="11"/>
          </w:tcPr>
          <w:p w14:paraId="19696432" w14:textId="52B148B1" w:rsidR="00FC2198" w:rsidRPr="00133FC2" w:rsidRDefault="002C04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70"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FC2198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jesenski ispitni rok</w:t>
            </w:r>
          </w:p>
        </w:tc>
      </w:tr>
      <w:tr w:rsidR="00CE0C70" w:rsidRPr="00133FC2" w14:paraId="50F42C99" w14:textId="77777777" w:rsidTr="00CE0C70">
        <w:tc>
          <w:tcPr>
            <w:tcW w:w="1732" w:type="dxa"/>
            <w:shd w:val="clear" w:color="auto" w:fill="F2F2F2" w:themeFill="background1" w:themeFillShade="F2"/>
          </w:tcPr>
          <w:p w14:paraId="4F0439DF" w14:textId="77777777" w:rsidR="00C10137" w:rsidRPr="00133FC2" w:rsidRDefault="00C10137" w:rsidP="00C10137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Termini ispitnih rokova</w:t>
            </w:r>
          </w:p>
        </w:tc>
        <w:tc>
          <w:tcPr>
            <w:tcW w:w="2232" w:type="dxa"/>
            <w:gridSpan w:val="11"/>
            <w:vAlign w:val="center"/>
          </w:tcPr>
          <w:p w14:paraId="702CF9D9" w14:textId="66964949" w:rsidR="00C10137" w:rsidRPr="00133FC2" w:rsidRDefault="00C10137" w:rsidP="00C101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0879F1DF" w14:textId="62829B45" w:rsidR="00C10137" w:rsidRPr="00133FC2" w:rsidRDefault="002C0471" w:rsidP="005A15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hyperlink r:id="rId9" w:history="1">
              <w:r w:rsidR="005A157B" w:rsidRPr="00133FC2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https://anglistika.unizd.hr/ispitni-rokovi</w:t>
              </w:r>
            </w:hyperlink>
            <w:r w:rsidR="005A157B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11"/>
            <w:vAlign w:val="center"/>
          </w:tcPr>
          <w:p w14:paraId="4940AB30" w14:textId="54D61177" w:rsidR="00C10137" w:rsidRPr="00133FC2" w:rsidRDefault="002C0471" w:rsidP="00C101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hyperlink r:id="rId10" w:history="1">
              <w:r w:rsidR="005A157B" w:rsidRPr="00133FC2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https://anglistika.unizd.hr/ispitni-rokovi</w:t>
              </w:r>
            </w:hyperlink>
            <w:r w:rsidR="005A157B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B45C4" w:rsidRPr="00133FC2" w14:paraId="3EBC3D46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425FD375" w14:textId="77777777" w:rsidR="00C10137" w:rsidRPr="00133FC2" w:rsidRDefault="00C10137" w:rsidP="00C10137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Opis kolegija</w:t>
            </w:r>
          </w:p>
        </w:tc>
        <w:tc>
          <w:tcPr>
            <w:tcW w:w="7335" w:type="dxa"/>
            <w:gridSpan w:val="29"/>
            <w:vAlign w:val="center"/>
          </w:tcPr>
          <w:p w14:paraId="4F44407B" w14:textId="77777777" w:rsidR="00C10137" w:rsidRPr="00133FC2" w:rsidRDefault="00C10137" w:rsidP="00C101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</w:p>
          <w:p w14:paraId="6190B435" w14:textId="4981B16E" w:rsidR="00B66BB7" w:rsidRPr="00133FC2" w:rsidRDefault="008E6D15" w:rsidP="00B66BB7">
            <w:pPr>
              <w:tabs>
                <w:tab w:val="left" w:pos="1218"/>
              </w:tabs>
              <w:spacing w:before="20" w:after="20"/>
              <w:rPr>
                <w:rStyle w:val="y2iqfc"/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U ovom kolegiju bavit ćemo se analizom popularne (trivijalne) književnosti i filma, uzimajući u obzir najnovija teorijska stajališta kako u književnosti tako i u filmskim studijima. Razmotrit ćemo razne narativne strategije, kao i pitanje subjekta i raznih procesa </w:t>
            </w:r>
            <w:proofErr w:type="spellStart"/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subjektiviranja</w:t>
            </w:r>
            <w:proofErr w:type="spellEnd"/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(rod, klasa, rasa, dob…). Razgovarat ćemo i o žanrovskoj podjeli, a ove godine posebnu pozornost posvećujemo analizi </w:t>
            </w:r>
            <w:r w:rsidR="00B66BB7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narative o vampirima u popularnoj književnosti i filmu.  </w:t>
            </w:r>
            <w:r w:rsidR="00B66BB7"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Zašto su vampiri tako fascinantni? Je li to njihova besmrtnost? Je li to zato što su oni nadnaravno stvorenje koje nam najviše sliči? </w:t>
            </w:r>
          </w:p>
          <w:p w14:paraId="477562D0" w14:textId="77777777" w:rsidR="00B66BB7" w:rsidRPr="00133FC2" w:rsidRDefault="00B66BB7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</w:p>
          <w:p w14:paraId="713FFC3A" w14:textId="600E366D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513828EB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5687782D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Sadržaj kolegija (nastavne teme)</w:t>
            </w:r>
          </w:p>
        </w:tc>
        <w:tc>
          <w:tcPr>
            <w:tcW w:w="7335" w:type="dxa"/>
            <w:gridSpan w:val="29"/>
          </w:tcPr>
          <w:p w14:paraId="45F4C372" w14:textId="77777777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1. Uvod </w:t>
            </w:r>
          </w:p>
          <w:p w14:paraId="59FABA90" w14:textId="77777777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2. Imperij i drugi. </w:t>
            </w:r>
          </w:p>
          <w:p w14:paraId="02D41177" w14:textId="37FFEE0C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3. Ne-mrtvi i podsvijest</w:t>
            </w:r>
          </w:p>
          <w:p w14:paraId="1CAEABF8" w14:textId="77777777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4. Vampiri i izgradnja nacije. </w:t>
            </w:r>
          </w:p>
          <w:p w14:paraId="7408033D" w14:textId="77777777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5. Fantastično (fantazmagorija, </w:t>
            </w:r>
            <w:proofErr w:type="spellStart"/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nerazum</w:t>
            </w:r>
            <w:proofErr w:type="spellEnd"/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)</w:t>
            </w:r>
          </w:p>
          <w:p w14:paraId="72712A33" w14:textId="0A00A395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6. Balkan, folklor i narativi o vampirima </w:t>
            </w:r>
          </w:p>
          <w:p w14:paraId="7A6CEE38" w14:textId="77777777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7. Rani vampirski narativi</w:t>
            </w:r>
          </w:p>
          <w:p w14:paraId="3FFBD8C0" w14:textId="77777777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8. Drakula </w:t>
            </w:r>
            <w:proofErr w:type="spellStart"/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Brama</w:t>
            </w:r>
            <w:proofErr w:type="spellEnd"/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Stokera</w:t>
            </w:r>
            <w:proofErr w:type="spellEnd"/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. </w:t>
            </w:r>
          </w:p>
          <w:p w14:paraId="242F4893" w14:textId="72DA989F" w:rsidR="006E2613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9. </w:t>
            </w:r>
            <w:r w:rsidR="006E2613"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Praznik</w:t>
            </w:r>
          </w:p>
          <w:p w14:paraId="3BB701B6" w14:textId="612DD62E" w:rsidR="00B66BB7" w:rsidRPr="00133FC2" w:rsidRDefault="006E2613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10. </w:t>
            </w:r>
            <w:r w:rsidR="00B66BB7"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Čitanje Kralja vampira</w:t>
            </w:r>
          </w:p>
          <w:p w14:paraId="367E8624" w14:textId="1210E329" w:rsidR="006E2613" w:rsidRPr="00133FC2" w:rsidRDefault="006E2613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11. Praznik</w:t>
            </w:r>
          </w:p>
          <w:p w14:paraId="76C9734A" w14:textId="40CE61D5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1</w:t>
            </w:r>
            <w:r w:rsidR="006E2613"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2</w:t>
            </w: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. </w:t>
            </w:r>
            <w:proofErr w:type="spellStart"/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Nosferatu</w:t>
            </w:r>
            <w:proofErr w:type="spellEnd"/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; prva kinematografska adaptacija</w:t>
            </w:r>
          </w:p>
          <w:p w14:paraId="62398A19" w14:textId="3B836F71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1</w:t>
            </w:r>
            <w:r w:rsidR="006E2613"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3</w:t>
            </w: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. Prve holivudske adaptacije Drakule</w:t>
            </w:r>
          </w:p>
          <w:p w14:paraId="5473C902" w14:textId="77777777" w:rsidR="00B66BB7" w:rsidRPr="00133FC2" w:rsidRDefault="00B66BB7" w:rsidP="00B66BB7">
            <w:pPr>
              <w:pStyle w:val="HTMLunaprijedoblikovano"/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 xml:space="preserve">14. Kozmički horor i vampiri </w:t>
            </w:r>
          </w:p>
          <w:p w14:paraId="78F32917" w14:textId="77777777" w:rsidR="00B66BB7" w:rsidRPr="00133FC2" w:rsidRDefault="00B66BB7" w:rsidP="00B66BB7">
            <w:pPr>
              <w:pStyle w:val="HTMLunaprijedoblikovano"/>
              <w:rPr>
                <w:rFonts w:ascii="Merriweather" w:hAnsi="Merriweather" w:cs="Times New Roman"/>
                <w:color w:val="1F1F1F"/>
                <w:sz w:val="18"/>
                <w:szCs w:val="18"/>
              </w:rPr>
            </w:pPr>
            <w:r w:rsidRPr="00133FC2">
              <w:rPr>
                <w:rStyle w:val="y2iqfc"/>
                <w:rFonts w:ascii="Merriweather" w:hAnsi="Merriweather" w:cs="Times New Roman"/>
                <w:color w:val="1F1F1F"/>
                <w:sz w:val="18"/>
                <w:szCs w:val="18"/>
              </w:rPr>
              <w:t>15. Završno predavanje</w:t>
            </w:r>
          </w:p>
          <w:p w14:paraId="1F27B42F" w14:textId="0AABDFD4" w:rsidR="008E6D15" w:rsidRPr="00133FC2" w:rsidRDefault="008E6D15" w:rsidP="00B66BB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75D1B1BC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7286A1E6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Obvezna literatura</w:t>
            </w:r>
          </w:p>
        </w:tc>
        <w:tc>
          <w:tcPr>
            <w:tcW w:w="7335" w:type="dxa"/>
            <w:gridSpan w:val="29"/>
            <w:vAlign w:val="center"/>
          </w:tcPr>
          <w:p w14:paraId="7C467348" w14:textId="77777777" w:rsidR="00B64B1F" w:rsidRPr="00133FC2" w:rsidRDefault="00B64B1F" w:rsidP="00B64B1F">
            <w:pPr>
              <w:numPr>
                <w:ilvl w:val="0"/>
                <w:numId w:val="16"/>
              </w:numPr>
              <w:rPr>
                <w:rStyle w:val="a-size-large"/>
                <w:rFonts w:ascii="Merriweather" w:hAnsi="Merriweather" w:cs="Times New Roman"/>
                <w:sz w:val="18"/>
                <w:szCs w:val="18"/>
                <w:lang w:val="en-US"/>
              </w:rPr>
            </w:pPr>
            <w:r w:rsidRPr="00133FC2">
              <w:rPr>
                <w:rStyle w:val="a-size-large"/>
                <w:rFonts w:ascii="Merriweather" w:hAnsi="Merriweather" w:cs="Times New Roman"/>
                <w:sz w:val="18"/>
                <w:szCs w:val="18"/>
                <w:lang w:val="en-US"/>
              </w:rPr>
              <w:t xml:space="preserve">Altman, Rick. </w:t>
            </w:r>
            <w:r w:rsidRPr="00133FC2">
              <w:rPr>
                <w:rStyle w:val="a-size-large"/>
                <w:rFonts w:ascii="Merriweather" w:hAnsi="Merriweather" w:cs="Times New Roman"/>
                <w:i/>
                <w:sz w:val="18"/>
                <w:szCs w:val="18"/>
                <w:lang w:val="en-US"/>
              </w:rPr>
              <w:t>Film/Genre,</w:t>
            </w:r>
            <w:r w:rsidRPr="00133FC2">
              <w:rPr>
                <w:rStyle w:val="a-size-large"/>
                <w:rFonts w:ascii="Merriweather" w:hAnsi="Merriweather" w:cs="Times New Roman"/>
                <w:sz w:val="18"/>
                <w:szCs w:val="18"/>
                <w:lang w:val="en-US"/>
              </w:rPr>
              <w:t xml:space="preserve"> London. British Film Institute. 1999. (chapter 1) </w:t>
            </w:r>
          </w:p>
          <w:p w14:paraId="35C17FC0" w14:textId="2CB0CA1E" w:rsidR="00B64B1F" w:rsidRPr="00133FC2" w:rsidRDefault="00B64B1F" w:rsidP="00B64B1F">
            <w:pPr>
              <w:numPr>
                <w:ilvl w:val="0"/>
                <w:numId w:val="16"/>
              </w:numPr>
              <w:rPr>
                <w:rStyle w:val="a-size-large"/>
                <w:rFonts w:ascii="Merriweather" w:hAnsi="Merriweather" w:cs="Times New Roman"/>
                <w:sz w:val="18"/>
                <w:szCs w:val="18"/>
                <w:lang w:val="en-US"/>
              </w:rPr>
            </w:pPr>
            <w:r w:rsidRPr="00133FC2">
              <w:rPr>
                <w:rStyle w:val="a-size-large"/>
                <w:rFonts w:ascii="Merriweather" w:hAnsi="Merriweather" w:cs="Times New Roman"/>
                <w:sz w:val="18"/>
                <w:szCs w:val="18"/>
                <w:lang w:val="en-US"/>
              </w:rPr>
              <w:t xml:space="preserve">Auerbach, Nina. </w:t>
            </w:r>
            <w:r w:rsidRPr="00133FC2">
              <w:rPr>
                <w:rStyle w:val="a-size-large"/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Our Vampires, Our</w:t>
            </w:r>
            <w:r w:rsidR="00AF37AF" w:rsidRPr="00133FC2">
              <w:rPr>
                <w:rStyle w:val="a-size-large"/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sel</w:t>
            </w:r>
            <w:r w:rsidRPr="00133FC2">
              <w:rPr>
                <w:rStyle w:val="a-size-large"/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ves.</w:t>
            </w:r>
            <w:r w:rsidRPr="00133FC2">
              <w:rPr>
                <w:rStyle w:val="a-size-large"/>
                <w:rFonts w:ascii="Merriweather" w:hAnsi="Merriweather" w:cs="Times New Roman"/>
                <w:sz w:val="18"/>
                <w:szCs w:val="18"/>
                <w:lang w:val="en-US"/>
              </w:rPr>
              <w:t xml:space="preserve"> University Chicago Press. Chicago. 1995. </w:t>
            </w:r>
          </w:p>
          <w:p w14:paraId="5B4EC67C" w14:textId="77777777" w:rsidR="00B64B1F" w:rsidRPr="00133FC2" w:rsidRDefault="00B64B1F" w:rsidP="00B64B1F">
            <w:pPr>
              <w:numPr>
                <w:ilvl w:val="0"/>
                <w:numId w:val="16"/>
              </w:numPr>
              <w:rPr>
                <w:rFonts w:ascii="Merriweather" w:hAnsi="Merriweather" w:cs="Times New Roman"/>
                <w:sz w:val="18"/>
                <w:szCs w:val="18"/>
                <w:lang w:val="en-US"/>
              </w:rPr>
            </w:pP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>Bloom, Clive (ed.).</w:t>
            </w:r>
            <w:r w:rsidRPr="00133FC2">
              <w:rPr>
                <w:rFonts w:ascii="Merriweather" w:hAnsi="Merriweather" w:cs="Times New Roman"/>
                <w:i/>
                <w:sz w:val="18"/>
                <w:szCs w:val="18"/>
                <w:lang w:val="en-US"/>
              </w:rPr>
              <w:t xml:space="preserve"> Gothic Horror: A Reader's Guide from Poe to King and Beyond. </w:t>
            </w: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>Macmillan Press LTD. 1998. (Selected parts)</w:t>
            </w:r>
          </w:p>
          <w:p w14:paraId="782165CD" w14:textId="77777777" w:rsidR="00B64B1F" w:rsidRPr="00133FC2" w:rsidRDefault="00B64B1F" w:rsidP="00B64B1F">
            <w:pPr>
              <w:numPr>
                <w:ilvl w:val="0"/>
                <w:numId w:val="16"/>
              </w:numPr>
              <w:rPr>
                <w:rFonts w:ascii="Merriweather" w:hAnsi="Merriweather" w:cs="Times New Roman"/>
                <w:sz w:val="18"/>
                <w:szCs w:val="18"/>
                <w:lang w:val="en-US"/>
              </w:rPr>
            </w:pP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Gelder, K. </w:t>
            </w:r>
            <w:r w:rsidRPr="00133FC2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Reading the Vampire.</w:t>
            </w: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 Routledge. London. 1994.</w:t>
            </w:r>
          </w:p>
          <w:p w14:paraId="344B52BF" w14:textId="77777777" w:rsidR="00B64B1F" w:rsidRPr="00133FC2" w:rsidRDefault="00B64B1F" w:rsidP="00B64B1F">
            <w:pPr>
              <w:numPr>
                <w:ilvl w:val="0"/>
                <w:numId w:val="16"/>
              </w:numPr>
              <w:rPr>
                <w:rFonts w:ascii="Merriweather" w:hAnsi="Merriweather" w:cs="Times New Roman"/>
                <w:sz w:val="18"/>
                <w:szCs w:val="18"/>
                <w:lang w:val="en-US"/>
              </w:rPr>
            </w:pP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Gelder, K. </w:t>
            </w:r>
            <w:r w:rsidRPr="00133FC2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The Horror Reader.</w:t>
            </w: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 Routledge. London.</w:t>
            </w:r>
          </w:p>
          <w:p w14:paraId="48B24B2B" w14:textId="77777777" w:rsidR="00B64B1F" w:rsidRPr="00133FC2" w:rsidRDefault="00B64B1F" w:rsidP="00B64B1F">
            <w:pPr>
              <w:numPr>
                <w:ilvl w:val="0"/>
                <w:numId w:val="16"/>
              </w:numPr>
              <w:rPr>
                <w:rFonts w:ascii="Merriweather" w:hAnsi="Merriweather" w:cs="Times New Roman"/>
                <w:sz w:val="18"/>
                <w:szCs w:val="18"/>
                <w:lang w:val="en-US"/>
              </w:rPr>
            </w:pP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lastRenderedPageBreak/>
              <w:t xml:space="preserve">Gelder, Ken. </w:t>
            </w:r>
            <w:r w:rsidRPr="00133FC2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 xml:space="preserve">New Vampire cinema. </w:t>
            </w: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 Routledge. London.</w:t>
            </w:r>
          </w:p>
          <w:p w14:paraId="7AFA8C08" w14:textId="755CE56B" w:rsidR="00B64B1F" w:rsidRPr="00133FC2" w:rsidRDefault="00B64B1F" w:rsidP="00B64B1F">
            <w:pPr>
              <w:numPr>
                <w:ilvl w:val="0"/>
                <w:numId w:val="16"/>
              </w:numPr>
              <w:rPr>
                <w:rFonts w:ascii="Merriweather" w:hAnsi="Merriweather" w:cs="Times New Roman"/>
                <w:sz w:val="18"/>
                <w:szCs w:val="18"/>
                <w:lang w:val="en-US"/>
              </w:rPr>
            </w:pPr>
            <w:proofErr w:type="spellStart"/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>Frayling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 Christopher</w:t>
            </w:r>
            <w:r w:rsidRPr="00133FC2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6E2613" w:rsidRPr="00133FC2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Vampires</w:t>
            </w:r>
            <w:r w:rsidRPr="00133FC2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 xml:space="preserve">. Genesis and Resurrection from Count Dracula to </w:t>
            </w:r>
            <w:proofErr w:type="spellStart"/>
            <w:r w:rsidRPr="00133FC2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Vampirella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>. Themes &amp; Hudson. London. 2016.</w:t>
            </w:r>
          </w:p>
          <w:p w14:paraId="78DAFFD2" w14:textId="77777777" w:rsidR="00B64B1F" w:rsidRPr="00133FC2" w:rsidRDefault="00B64B1F" w:rsidP="00B64B1F">
            <w:pPr>
              <w:numPr>
                <w:ilvl w:val="0"/>
                <w:numId w:val="16"/>
              </w:numPr>
              <w:rPr>
                <w:rFonts w:ascii="Merriweather" w:hAnsi="Merriweather" w:cs="Times New Roman"/>
                <w:sz w:val="18"/>
                <w:szCs w:val="18"/>
                <w:lang w:val="en-US"/>
              </w:rPr>
            </w:pP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>Ryan, A.  (ed.) The Penguin Book of Vampire Stories.</w:t>
            </w:r>
          </w:p>
          <w:p w14:paraId="0495114E" w14:textId="77777777" w:rsidR="00B64B1F" w:rsidRPr="00133FC2" w:rsidRDefault="00B64B1F" w:rsidP="00B64B1F">
            <w:pPr>
              <w:numPr>
                <w:ilvl w:val="0"/>
                <w:numId w:val="16"/>
              </w:numPr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</w:pP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Todorov, T. </w:t>
            </w:r>
            <w:r w:rsidRPr="00133FC2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 xml:space="preserve">The Fantastic: A Structural Approach to a Literary Genre. </w:t>
            </w:r>
          </w:p>
          <w:p w14:paraId="65C5941B" w14:textId="77777777" w:rsidR="00B64B1F" w:rsidRPr="00133FC2" w:rsidRDefault="00B64B1F" w:rsidP="00B64B1F">
            <w:pPr>
              <w:numPr>
                <w:ilvl w:val="0"/>
                <w:numId w:val="16"/>
              </w:numPr>
              <w:rPr>
                <w:rFonts w:ascii="Merriweather" w:hAnsi="Merriweather" w:cs="Times New Roman"/>
                <w:sz w:val="18"/>
                <w:szCs w:val="18"/>
                <w:lang w:val="en-US"/>
              </w:rPr>
            </w:pP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Stoker, B. </w:t>
            </w:r>
            <w:r w:rsidRPr="00133FC2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Dracula.</w:t>
            </w:r>
            <w:r w:rsidRPr="00133FC2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 </w:t>
            </w:r>
          </w:p>
          <w:p w14:paraId="31FDEF4A" w14:textId="4B05C47C" w:rsidR="008E6D15" w:rsidRPr="00133FC2" w:rsidRDefault="008E6D15" w:rsidP="00B66BB7">
            <w:pPr>
              <w:ind w:left="720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B45C4" w:rsidRPr="00133FC2" w14:paraId="6A24254A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089C80EC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335" w:type="dxa"/>
            <w:gridSpan w:val="29"/>
            <w:vAlign w:val="center"/>
          </w:tcPr>
          <w:p w14:paraId="2750B37D" w14:textId="77777777" w:rsidR="00B64B1F" w:rsidRPr="00133FC2" w:rsidRDefault="00B64B1F" w:rsidP="00B64B1F">
            <w:pPr>
              <w:pStyle w:val="StandardWeb"/>
              <w:numPr>
                <w:ilvl w:val="0"/>
                <w:numId w:val="18"/>
              </w:numPr>
              <w:rPr>
                <w:rFonts w:ascii="Merriweather" w:hAnsi="Merriweather"/>
                <w:sz w:val="18"/>
                <w:szCs w:val="18"/>
                <w:lang w:eastAsia="en-GB"/>
              </w:rPr>
            </w:pPr>
            <w:r w:rsidRPr="00133FC2">
              <w:rPr>
                <w:rFonts w:ascii="Merriweather" w:hAnsi="Merriweather"/>
                <w:sz w:val="18"/>
                <w:szCs w:val="18"/>
              </w:rPr>
              <w:t xml:space="preserve">Barber, P. </w:t>
            </w:r>
            <w:r w:rsidRPr="00133FC2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Vampires, Burial, and Death: Folklore and Reality </w:t>
            </w:r>
          </w:p>
          <w:p w14:paraId="25259571" w14:textId="77777777" w:rsidR="00B64B1F" w:rsidRPr="00133FC2" w:rsidRDefault="00B64B1F" w:rsidP="00B64B1F">
            <w:pPr>
              <w:pStyle w:val="StandardWeb"/>
              <w:numPr>
                <w:ilvl w:val="0"/>
                <w:numId w:val="18"/>
              </w:numPr>
              <w:rPr>
                <w:rFonts w:ascii="Merriweather" w:hAnsi="Merriweather"/>
                <w:sz w:val="18"/>
                <w:szCs w:val="18"/>
                <w:lang w:eastAsia="en-GB"/>
              </w:rPr>
            </w:pPr>
            <w:r w:rsidRPr="00133FC2">
              <w:rPr>
                <w:rFonts w:ascii="Merriweather" w:hAnsi="Merriweather"/>
                <w:sz w:val="18"/>
                <w:szCs w:val="18"/>
                <w:lang w:eastAsia="en-GB"/>
              </w:rPr>
              <w:t xml:space="preserve">Butler, Erik. </w:t>
            </w:r>
            <w:r w:rsidRPr="00133FC2">
              <w:rPr>
                <w:rFonts w:ascii="Merriweather" w:hAnsi="Merriweather"/>
                <w:i/>
                <w:iCs/>
                <w:sz w:val="18"/>
                <w:szCs w:val="18"/>
                <w:lang w:eastAsia="en-GB"/>
              </w:rPr>
              <w:t>Metamorphoses of the Vampire in Literature and Film.</w:t>
            </w:r>
            <w:r w:rsidRPr="00133FC2">
              <w:rPr>
                <w:rFonts w:ascii="Merriweather" w:hAnsi="Merriweather"/>
                <w:sz w:val="18"/>
                <w:szCs w:val="18"/>
                <w:lang w:eastAsia="en-GB"/>
              </w:rPr>
              <w:t xml:space="preserve"> Rochester, Camden. 2010</w:t>
            </w:r>
          </w:p>
          <w:p w14:paraId="2DE2D390" w14:textId="7B97E965" w:rsidR="00B64B1F" w:rsidRPr="00133FC2" w:rsidRDefault="00B64B1F" w:rsidP="00B64B1F">
            <w:pPr>
              <w:pStyle w:val="StandardWeb"/>
              <w:numPr>
                <w:ilvl w:val="0"/>
                <w:numId w:val="18"/>
              </w:numPr>
              <w:rPr>
                <w:rFonts w:ascii="Merriweather" w:hAnsi="Merriweather"/>
                <w:sz w:val="18"/>
                <w:szCs w:val="18"/>
                <w:lang w:eastAsia="en-GB"/>
              </w:rPr>
            </w:pPr>
            <w:r w:rsidRPr="00133FC2">
              <w:rPr>
                <w:rFonts w:ascii="Merriweather" w:hAnsi="Merriweather"/>
                <w:sz w:val="18"/>
                <w:szCs w:val="18"/>
                <w:lang w:eastAsia="en-GB"/>
              </w:rPr>
              <w:t xml:space="preserve">Botting, Fred. </w:t>
            </w:r>
            <w:r w:rsidRPr="00133FC2">
              <w:rPr>
                <w:rFonts w:ascii="Merriweather" w:hAnsi="Merriweather"/>
                <w:sz w:val="18"/>
                <w:szCs w:val="18"/>
              </w:rPr>
              <w:t>"</w:t>
            </w:r>
            <w:r w:rsidRPr="00133FC2">
              <w:rPr>
                <w:rFonts w:ascii="Merriweather" w:hAnsi="Merriweather"/>
                <w:i/>
                <w:iCs/>
                <w:sz w:val="18"/>
                <w:szCs w:val="18"/>
              </w:rPr>
              <w:t>The Gothic Production of the Unconscious." Spectral Readings: Towards a Gothic Geography.</w:t>
            </w:r>
            <w:r w:rsidRPr="00133FC2">
              <w:rPr>
                <w:rFonts w:ascii="Merriweather" w:hAnsi="Merriweather"/>
                <w:sz w:val="18"/>
                <w:szCs w:val="18"/>
              </w:rPr>
              <w:t xml:space="preserve"> Ed. Glennis </w:t>
            </w:r>
          </w:p>
          <w:p w14:paraId="71DB0809" w14:textId="23EC4422" w:rsidR="00B64B1F" w:rsidRPr="00133FC2" w:rsidRDefault="00B64B1F" w:rsidP="00B64B1F">
            <w:pPr>
              <w:pStyle w:val="StandardWeb"/>
              <w:numPr>
                <w:ilvl w:val="0"/>
                <w:numId w:val="18"/>
              </w:numPr>
              <w:rPr>
                <w:rFonts w:ascii="Merriweather" w:hAnsi="Merriweather"/>
                <w:sz w:val="18"/>
                <w:szCs w:val="18"/>
                <w:lang w:eastAsia="en-GB"/>
              </w:rPr>
            </w:pPr>
            <w:r w:rsidRPr="00133FC2">
              <w:rPr>
                <w:rFonts w:ascii="Merriweather" w:hAnsi="Merriweather"/>
                <w:sz w:val="18"/>
                <w:szCs w:val="18"/>
              </w:rPr>
              <w:t xml:space="preserve">Jackson R. Fantasy.  The Literature of Subversion. – London: Methuen. 1981. </w:t>
            </w:r>
          </w:p>
          <w:p w14:paraId="7AD04178" w14:textId="77777777" w:rsidR="00B64B1F" w:rsidRPr="00133FC2" w:rsidRDefault="00B64B1F" w:rsidP="00B64B1F">
            <w:pPr>
              <w:pStyle w:val="StandardWeb"/>
              <w:numPr>
                <w:ilvl w:val="0"/>
                <w:numId w:val="18"/>
              </w:numPr>
              <w:rPr>
                <w:rFonts w:ascii="Merriweather" w:hAnsi="Merriweather"/>
                <w:sz w:val="18"/>
                <w:szCs w:val="18"/>
                <w:lang w:eastAsia="en-GB"/>
              </w:rPr>
            </w:pPr>
            <w:r w:rsidRPr="00133FC2">
              <w:rPr>
                <w:rFonts w:ascii="Merriweather" w:hAnsi="Merriweather"/>
                <w:sz w:val="18"/>
                <w:szCs w:val="18"/>
              </w:rPr>
              <w:t xml:space="preserve">Raymond McNally and Radu </w:t>
            </w:r>
            <w:proofErr w:type="spellStart"/>
            <w:r w:rsidRPr="00133FC2">
              <w:rPr>
                <w:rFonts w:ascii="Merriweather" w:hAnsi="Merriweather"/>
                <w:sz w:val="18"/>
                <w:szCs w:val="18"/>
              </w:rPr>
              <w:t>Florescu</w:t>
            </w:r>
            <w:proofErr w:type="spellEnd"/>
            <w:r w:rsidRPr="00133FC2">
              <w:rPr>
                <w:rFonts w:ascii="Merriweather" w:hAnsi="Merriweather"/>
                <w:sz w:val="18"/>
                <w:szCs w:val="18"/>
              </w:rPr>
              <w:t xml:space="preserve">: </w:t>
            </w:r>
            <w:r w:rsidRPr="00133FC2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In Search of Dracula, </w:t>
            </w:r>
          </w:p>
          <w:p w14:paraId="226C90B5" w14:textId="77777777" w:rsidR="00B64B1F" w:rsidRPr="00133FC2" w:rsidRDefault="00B64B1F" w:rsidP="00B64B1F">
            <w:pPr>
              <w:pStyle w:val="StandardWeb"/>
              <w:numPr>
                <w:ilvl w:val="0"/>
                <w:numId w:val="18"/>
              </w:numPr>
              <w:rPr>
                <w:rFonts w:ascii="Merriweather" w:hAnsi="Merriweather"/>
                <w:sz w:val="18"/>
                <w:szCs w:val="18"/>
                <w:lang w:eastAsia="en-GB"/>
              </w:rPr>
            </w:pPr>
            <w:r w:rsidRPr="00133FC2">
              <w:rPr>
                <w:rFonts w:ascii="Merriweather" w:hAnsi="Merriweather"/>
                <w:sz w:val="18"/>
                <w:szCs w:val="18"/>
              </w:rPr>
              <w:t xml:space="preserve">Ryan, </w:t>
            </w:r>
            <w:r w:rsidRPr="00133FC2">
              <w:rPr>
                <w:rFonts w:ascii="Merriweather" w:hAnsi="Merriweather"/>
                <w:i/>
                <w:sz w:val="18"/>
                <w:szCs w:val="18"/>
              </w:rPr>
              <w:t>The Penguin Book of Vampire Stories,</w:t>
            </w:r>
            <w:r w:rsidRPr="00133FC2">
              <w:rPr>
                <w:rFonts w:ascii="Merriweather" w:hAnsi="Merriweather"/>
                <w:sz w:val="18"/>
                <w:szCs w:val="18"/>
              </w:rPr>
              <w:t xml:space="preserve"> Penguin,</w:t>
            </w:r>
          </w:p>
          <w:p w14:paraId="39F829D3" w14:textId="77777777" w:rsidR="00B64B1F" w:rsidRPr="00133FC2" w:rsidRDefault="00B64B1F" w:rsidP="00B64B1F">
            <w:pPr>
              <w:pStyle w:val="StandardWeb"/>
              <w:numPr>
                <w:ilvl w:val="0"/>
                <w:numId w:val="18"/>
              </w:numPr>
              <w:rPr>
                <w:rFonts w:ascii="Merriweather" w:hAnsi="Merriweather"/>
                <w:sz w:val="18"/>
                <w:szCs w:val="18"/>
                <w:lang w:eastAsia="en-GB"/>
              </w:rPr>
            </w:pPr>
            <w:r w:rsidRPr="00133FC2">
              <w:rPr>
                <w:rFonts w:ascii="Merriweather" w:hAnsi="Merriweather"/>
                <w:sz w:val="18"/>
                <w:szCs w:val="18"/>
              </w:rPr>
              <w:t xml:space="preserve">Gelder, Ken. New Vampire cinema </w:t>
            </w:r>
          </w:p>
          <w:p w14:paraId="006954BB" w14:textId="5C4CA442" w:rsidR="00B64B1F" w:rsidRPr="00133FC2" w:rsidRDefault="00B64B1F" w:rsidP="00B64B1F">
            <w:pPr>
              <w:pStyle w:val="StandardWeb"/>
              <w:numPr>
                <w:ilvl w:val="0"/>
                <w:numId w:val="18"/>
              </w:numPr>
              <w:rPr>
                <w:rFonts w:ascii="Merriweather" w:hAnsi="Merriweather"/>
                <w:sz w:val="18"/>
                <w:szCs w:val="18"/>
                <w:lang w:eastAsia="en-GB"/>
              </w:rPr>
            </w:pPr>
            <w:r w:rsidRPr="00133FC2">
              <w:rPr>
                <w:rFonts w:ascii="Merriweather" w:hAnsi="Merriweather"/>
                <w:sz w:val="18"/>
                <w:szCs w:val="18"/>
              </w:rPr>
              <w:t xml:space="preserve">Skal, David J.  </w:t>
            </w:r>
            <w:r w:rsidRPr="00133FC2">
              <w:rPr>
                <w:rFonts w:ascii="Merriweather" w:hAnsi="Merriweather"/>
                <w:i/>
                <w:iCs/>
                <w:sz w:val="18"/>
                <w:szCs w:val="18"/>
              </w:rPr>
              <w:t>Vampires. Encounters with the Undead</w:t>
            </w:r>
            <w:r w:rsidRPr="00133FC2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63E42B93" w14:textId="3CFC4E92" w:rsidR="00B64B1F" w:rsidRPr="00133FC2" w:rsidRDefault="00B64B1F" w:rsidP="00B64B1F">
            <w:pPr>
              <w:pStyle w:val="StandardWeb"/>
              <w:numPr>
                <w:ilvl w:val="0"/>
                <w:numId w:val="18"/>
              </w:numPr>
              <w:rPr>
                <w:rFonts w:ascii="Merriweather" w:hAnsi="Merriweather"/>
                <w:i/>
                <w:iCs/>
                <w:sz w:val="18"/>
                <w:szCs w:val="18"/>
                <w:lang w:eastAsia="en-GB"/>
              </w:rPr>
            </w:pPr>
            <w:proofErr w:type="spellStart"/>
            <w:r w:rsidRPr="00133FC2">
              <w:rPr>
                <w:rFonts w:ascii="Merriweather" w:hAnsi="Merriweather"/>
                <w:sz w:val="18"/>
                <w:szCs w:val="18"/>
              </w:rPr>
              <w:t>Perkowski</w:t>
            </w:r>
            <w:proofErr w:type="spellEnd"/>
            <w:r w:rsidRPr="00133FC2">
              <w:rPr>
                <w:rFonts w:ascii="Merriweather" w:hAnsi="Merriweather"/>
                <w:sz w:val="18"/>
                <w:szCs w:val="18"/>
              </w:rPr>
              <w:t xml:space="preserve">, D.  </w:t>
            </w:r>
            <w:r w:rsidRPr="00133FC2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Vampires of the Slavs </w:t>
            </w:r>
          </w:p>
          <w:p w14:paraId="770A8884" w14:textId="48F7A8DC" w:rsidR="005B45C4" w:rsidRPr="00133FC2" w:rsidRDefault="005B45C4" w:rsidP="00B64B1F">
            <w:pPr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B45C4" w:rsidRPr="00133FC2" w14:paraId="3DCCD2C3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07B7731C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 xml:space="preserve">Mrežni izvori </w:t>
            </w:r>
          </w:p>
        </w:tc>
        <w:tc>
          <w:tcPr>
            <w:tcW w:w="7335" w:type="dxa"/>
            <w:gridSpan w:val="29"/>
            <w:vAlign w:val="center"/>
          </w:tcPr>
          <w:p w14:paraId="4031515A" w14:textId="77777777" w:rsidR="00AF37AF" w:rsidRPr="00133FC2" w:rsidRDefault="00AF37AF" w:rsidP="00AF37AF">
            <w:pPr>
              <w:rPr>
                <w:rFonts w:ascii="Merriweather" w:hAnsi="Merriweather" w:cs="Times New Roman"/>
                <w:sz w:val="18"/>
                <w:szCs w:val="18"/>
                <w:lang w:val="en-US"/>
              </w:rPr>
            </w:pPr>
            <w:r w:rsidRPr="00133FC2">
              <w:rPr>
                <w:rFonts w:ascii="Merriweather" w:hAnsi="Merriweather" w:cs="Times New Roman"/>
                <w:sz w:val="18"/>
                <w:szCs w:val="18"/>
              </w:rPr>
              <w:t xml:space="preserve">Summers, </w:t>
            </w:r>
            <w:proofErr w:type="spellStart"/>
            <w:r w:rsidRPr="00133FC2">
              <w:rPr>
                <w:rFonts w:ascii="Merriweather" w:hAnsi="Merriweather" w:cs="Times New Roman"/>
                <w:i/>
                <w:sz w:val="18"/>
                <w:szCs w:val="18"/>
              </w:rPr>
              <w:t>Guide</w:t>
            </w:r>
            <w:proofErr w:type="spellEnd"/>
            <w:r w:rsidRPr="00133FC2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to </w:t>
            </w:r>
            <w:proofErr w:type="spellStart"/>
            <w:r w:rsidRPr="00133FC2">
              <w:rPr>
                <w:rFonts w:ascii="Merriweather" w:hAnsi="Merriweather" w:cs="Times New Roman"/>
                <w:i/>
                <w:sz w:val="18"/>
                <w:szCs w:val="18"/>
              </w:rPr>
              <w:t>Vampires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33FC2">
              <w:rPr>
                <w:rFonts w:ascii="Merriweather" w:hAnsi="Merriweather" w:cs="Times New Roman"/>
                <w:sz w:val="18"/>
                <w:szCs w:val="18"/>
              </w:rPr>
              <w:t>Ch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</w:rPr>
              <w:t>. 5: “</w:t>
            </w:r>
            <w:proofErr w:type="spellStart"/>
            <w:r w:rsidRPr="00133FC2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</w:rPr>
              <w:t xml:space="preserve"> Vampire </w:t>
            </w:r>
            <w:proofErr w:type="spellStart"/>
            <w:r w:rsidRPr="00133FC2">
              <w:rPr>
                <w:rFonts w:ascii="Merriweather" w:hAnsi="Merriweather" w:cs="Times New Roman"/>
                <w:sz w:val="18"/>
                <w:szCs w:val="18"/>
              </w:rPr>
              <w:t>in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</w:rPr>
              <w:t xml:space="preserve"> Literature </w:t>
            </w:r>
            <w:proofErr w:type="spellStart"/>
            <w:r w:rsidRPr="00133FC2">
              <w:rPr>
                <w:rFonts w:ascii="Merriweather" w:hAnsi="Merriweather" w:cs="Times New Roman"/>
                <w:sz w:val="18"/>
                <w:szCs w:val="18"/>
              </w:rPr>
              <w:t>up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</w:rPr>
              <w:t xml:space="preserve"> to </w:t>
            </w:r>
            <w:proofErr w:type="spellStart"/>
            <w:r w:rsidRPr="00133FC2">
              <w:rPr>
                <w:rFonts w:ascii="Merriweather" w:hAnsi="Merriweather" w:cs="Times New Roman"/>
                <w:sz w:val="18"/>
                <w:szCs w:val="18"/>
              </w:rPr>
              <w:t>Bram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33FC2">
              <w:rPr>
                <w:rFonts w:ascii="Merriweather" w:hAnsi="Merriweather" w:cs="Times New Roman"/>
                <w:sz w:val="18"/>
                <w:szCs w:val="18"/>
              </w:rPr>
              <w:t>Stoker’s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33FC2">
              <w:rPr>
                <w:rFonts w:ascii="Merriweather" w:hAnsi="Merriweather" w:cs="Times New Roman"/>
                <w:i/>
                <w:sz w:val="18"/>
                <w:szCs w:val="18"/>
              </w:rPr>
              <w:t>Dracula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</w:rPr>
              <w:t xml:space="preserve">” online: </w:t>
            </w:r>
            <w:hyperlink r:id="rId11" w:history="1">
              <w:r w:rsidRPr="00133FC2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http://www.unicorngarden.com/vamp5.htm</w:t>
              </w:r>
            </w:hyperlink>
          </w:p>
          <w:p w14:paraId="3F0ACED9" w14:textId="77777777" w:rsidR="00AF37AF" w:rsidRPr="00133FC2" w:rsidRDefault="00AF37AF" w:rsidP="00AF37AF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  <w:lang w:val="en"/>
              </w:rPr>
            </w:pPr>
            <w:r w:rsidRPr="00133FC2">
              <w:rPr>
                <w:rFonts w:ascii="Merriweather" w:hAnsi="Merriweather" w:cs="Times New Roman"/>
                <w:sz w:val="18"/>
                <w:szCs w:val="18"/>
                <w:lang w:val="en"/>
              </w:rPr>
              <w:t>Newman, “</w:t>
            </w:r>
            <w:proofErr w:type="spellStart"/>
            <w:r w:rsidRPr="00133FC2">
              <w:rPr>
                <w:rFonts w:ascii="Merriweather" w:hAnsi="Merriweather" w:cs="Times New Roman"/>
                <w:i/>
                <w:sz w:val="18"/>
                <w:szCs w:val="18"/>
                <w:lang w:val="en"/>
              </w:rPr>
              <w:t>Vampyr</w:t>
            </w:r>
            <w:proofErr w:type="spellEnd"/>
            <w:r w:rsidRPr="00133FC2">
              <w:rPr>
                <w:rFonts w:ascii="Merriweather" w:hAnsi="Merriweather" w:cs="Times New Roman"/>
                <w:sz w:val="18"/>
                <w:szCs w:val="18"/>
                <w:lang w:val="en"/>
              </w:rPr>
              <w:t xml:space="preserve"> and the Vampire” online: </w:t>
            </w:r>
            <w:hyperlink r:id="rId12" w:history="1">
              <w:r w:rsidRPr="00133FC2">
                <w:rPr>
                  <w:rStyle w:val="Hiperveza"/>
                  <w:rFonts w:ascii="Merriweather" w:hAnsi="Merriweather" w:cs="Times New Roman"/>
                  <w:sz w:val="18"/>
                  <w:szCs w:val="18"/>
                  <w:lang w:val="en"/>
                </w:rPr>
                <w:t>http://www.criterion.com/current/posts/560-vampyr-and-the-vampire</w:t>
              </w:r>
            </w:hyperlink>
            <w:r w:rsidRPr="00133FC2">
              <w:rPr>
                <w:rFonts w:ascii="Merriweather" w:hAnsi="Merriweather" w:cs="Times New Roman"/>
                <w:sz w:val="18"/>
                <w:szCs w:val="18"/>
                <w:lang w:val="en"/>
              </w:rPr>
              <w:t xml:space="preserve"> </w:t>
            </w:r>
          </w:p>
          <w:p w14:paraId="23C7A9E1" w14:textId="68E097A4" w:rsidR="008E6D15" w:rsidRPr="00133FC2" w:rsidRDefault="008E6D15" w:rsidP="00AF37AF">
            <w:pPr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5B45C4" w:rsidRPr="00133FC2" w14:paraId="280FE705" w14:textId="77777777" w:rsidTr="00133FC2">
        <w:tc>
          <w:tcPr>
            <w:tcW w:w="1732" w:type="dxa"/>
            <w:vMerge w:val="restart"/>
            <w:shd w:val="clear" w:color="auto" w:fill="F2F2F2" w:themeFill="background1" w:themeFillShade="F2"/>
            <w:vAlign w:val="center"/>
          </w:tcPr>
          <w:p w14:paraId="75BE5B41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Provjera ishoda učenja (prema uputama AZVO)</w:t>
            </w:r>
          </w:p>
        </w:tc>
        <w:tc>
          <w:tcPr>
            <w:tcW w:w="5639" w:type="dxa"/>
            <w:gridSpan w:val="24"/>
          </w:tcPr>
          <w:p w14:paraId="22BFB358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696" w:type="dxa"/>
            <w:gridSpan w:val="5"/>
          </w:tcPr>
          <w:p w14:paraId="2F4FEBA5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</w:p>
        </w:tc>
      </w:tr>
      <w:tr w:rsidR="00CE0C70" w:rsidRPr="00133FC2" w14:paraId="4A1B1D51" w14:textId="77777777" w:rsidTr="00CE0C70">
        <w:tc>
          <w:tcPr>
            <w:tcW w:w="1732" w:type="dxa"/>
            <w:vMerge/>
            <w:shd w:val="clear" w:color="auto" w:fill="F2F2F2" w:themeFill="background1" w:themeFillShade="F2"/>
          </w:tcPr>
          <w:p w14:paraId="051E68A3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7AA0E311" w14:textId="4D8B2A4A" w:rsidR="008E6D15" w:rsidRPr="00133FC2" w:rsidRDefault="002C0471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70"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završni</w:t>
            </w:r>
          </w:p>
          <w:p w14:paraId="093409AD" w14:textId="77777777" w:rsidR="008E6D15" w:rsidRPr="00133FC2" w:rsidRDefault="008E6D15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417" w:type="dxa"/>
            <w:gridSpan w:val="9"/>
            <w:vAlign w:val="center"/>
          </w:tcPr>
          <w:p w14:paraId="2C63E720" w14:textId="77777777" w:rsidR="008E6D15" w:rsidRPr="00133FC2" w:rsidRDefault="002C0471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završni</w:t>
            </w:r>
          </w:p>
          <w:p w14:paraId="0FA66FB9" w14:textId="77777777" w:rsidR="008E6D15" w:rsidRPr="00133FC2" w:rsidRDefault="008E6D15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2127" w:type="dxa"/>
            <w:gridSpan w:val="6"/>
            <w:vAlign w:val="center"/>
          </w:tcPr>
          <w:p w14:paraId="7F18CF6A" w14:textId="77777777" w:rsidR="008E6D15" w:rsidRPr="00133FC2" w:rsidRDefault="002C0471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2409" w:type="dxa"/>
            <w:gridSpan w:val="9"/>
            <w:vAlign w:val="center"/>
          </w:tcPr>
          <w:p w14:paraId="75DA1316" w14:textId="77777777" w:rsidR="008E6D15" w:rsidRPr="00133FC2" w:rsidRDefault="002C0471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3F277D" w:rsidRPr="00133FC2" w14:paraId="1F72C72F" w14:textId="77777777" w:rsidTr="00CE0C70">
        <w:tc>
          <w:tcPr>
            <w:tcW w:w="1732" w:type="dxa"/>
            <w:vMerge/>
            <w:shd w:val="clear" w:color="auto" w:fill="F2F2F2" w:themeFill="background1" w:themeFillShade="F2"/>
          </w:tcPr>
          <w:p w14:paraId="0D407CAD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7DFBC0ED" w14:textId="6134EAB6" w:rsidR="008E6D15" w:rsidRPr="00133FC2" w:rsidRDefault="002C0471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 xml:space="preserve">zadaće </w:t>
            </w:r>
          </w:p>
        </w:tc>
        <w:tc>
          <w:tcPr>
            <w:tcW w:w="1418" w:type="dxa"/>
            <w:gridSpan w:val="10"/>
            <w:vAlign w:val="center"/>
          </w:tcPr>
          <w:p w14:paraId="3E253A43" w14:textId="2492D1BE" w:rsidR="008E6D15" w:rsidRPr="00133FC2" w:rsidRDefault="002C0471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prezentacija / zadaća i završni ispit</w:t>
            </w:r>
          </w:p>
        </w:tc>
        <w:tc>
          <w:tcPr>
            <w:tcW w:w="1276" w:type="dxa"/>
            <w:gridSpan w:val="4"/>
            <w:vAlign w:val="center"/>
          </w:tcPr>
          <w:p w14:paraId="3538E10D" w14:textId="412F627A" w:rsidR="008E6D15" w:rsidRPr="00133FC2" w:rsidRDefault="002C0471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seminarski</w:t>
            </w:r>
          </w:p>
          <w:p w14:paraId="621E78DA" w14:textId="4DC9BBA5" w:rsidR="008E6D15" w:rsidRPr="00133FC2" w:rsidRDefault="008E6D15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rad (USMENA PREZENTACIJA)</w:t>
            </w:r>
          </w:p>
        </w:tc>
        <w:tc>
          <w:tcPr>
            <w:tcW w:w="1286" w:type="dxa"/>
            <w:gridSpan w:val="5"/>
            <w:vAlign w:val="center"/>
          </w:tcPr>
          <w:p w14:paraId="460F27D3" w14:textId="77777777" w:rsidR="008E6D15" w:rsidRPr="00133FC2" w:rsidRDefault="002C0471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seminarski</w:t>
            </w:r>
          </w:p>
          <w:p w14:paraId="4E77A151" w14:textId="77777777" w:rsidR="008E6D15" w:rsidRPr="00133FC2" w:rsidRDefault="008E6D15" w:rsidP="008E6D1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088" w:type="dxa"/>
            <w:gridSpan w:val="4"/>
            <w:vAlign w:val="center"/>
          </w:tcPr>
          <w:p w14:paraId="5E748E32" w14:textId="77777777" w:rsidR="008E6D15" w:rsidRPr="00133FC2" w:rsidRDefault="002C0471" w:rsidP="008E6D1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69" w:type="dxa"/>
            <w:gridSpan w:val="3"/>
            <w:vAlign w:val="center"/>
          </w:tcPr>
          <w:p w14:paraId="387FF1FA" w14:textId="554C4144" w:rsidR="008E6D15" w:rsidRPr="00133FC2" w:rsidRDefault="002C0471" w:rsidP="008E6D1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eastAsia="hr-HR"/>
              </w:rPr>
              <w:t>drugi oblici: ESEJ</w:t>
            </w:r>
          </w:p>
        </w:tc>
      </w:tr>
      <w:tr w:rsidR="005B45C4" w:rsidRPr="00133FC2" w14:paraId="71749B11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115014DE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Način formiranja završne ocjene (%)</w:t>
            </w:r>
          </w:p>
        </w:tc>
        <w:tc>
          <w:tcPr>
            <w:tcW w:w="7335" w:type="dxa"/>
            <w:gridSpan w:val="29"/>
            <w:vAlign w:val="center"/>
          </w:tcPr>
          <w:p w14:paraId="0426EFF8" w14:textId="709F072D" w:rsidR="008E6D15" w:rsidRPr="00133FC2" w:rsidRDefault="008E6D15" w:rsidP="008E6D15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92" w:lineRule="exact"/>
              <w:rPr>
                <w:rFonts w:ascii="Merriweather" w:hAnsi="Merriweather" w:cs="Times New Roman"/>
                <w:bCs/>
                <w:color w:val="000000" w:themeColor="text1"/>
                <w:position w:val="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Cs/>
                <w:color w:val="000000" w:themeColor="text1"/>
                <w:position w:val="1"/>
                <w:sz w:val="18"/>
                <w:szCs w:val="18"/>
              </w:rPr>
              <w:t xml:space="preserve">10% - redovno pohađanje nastave, čitanje seminarske literature , zadaće i aktivna participacija  </w:t>
            </w:r>
          </w:p>
          <w:p w14:paraId="64D0BE0E" w14:textId="77777777" w:rsidR="008E6D15" w:rsidRPr="00133FC2" w:rsidRDefault="008E6D15" w:rsidP="008E6D15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92" w:lineRule="exact"/>
              <w:rPr>
                <w:rFonts w:ascii="Merriweather" w:hAnsi="Merriweather" w:cs="Times New Roman"/>
                <w:bCs/>
                <w:color w:val="000000" w:themeColor="text1"/>
                <w:position w:val="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Cs/>
                <w:color w:val="000000" w:themeColor="text1"/>
                <w:position w:val="1"/>
                <w:sz w:val="18"/>
                <w:szCs w:val="18"/>
              </w:rPr>
              <w:t>20% - grupni rad, prezentacija</w:t>
            </w:r>
          </w:p>
          <w:p w14:paraId="483D445E" w14:textId="7C7AC42D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Cs/>
                <w:color w:val="000000" w:themeColor="text1"/>
                <w:position w:val="1"/>
                <w:sz w:val="18"/>
                <w:szCs w:val="18"/>
              </w:rPr>
              <w:t>70% - prijedlog teme eseja + esej</w:t>
            </w:r>
            <w:r w:rsidR="005B45C4" w:rsidRPr="00133FC2">
              <w:rPr>
                <w:rFonts w:ascii="Merriweather" w:hAnsi="Merriweather" w:cs="Times New Roman"/>
                <w:bCs/>
                <w:color w:val="000000" w:themeColor="text1"/>
                <w:position w:val="1"/>
                <w:sz w:val="18"/>
                <w:szCs w:val="18"/>
              </w:rPr>
              <w:t xml:space="preserve"> (</w:t>
            </w:r>
            <w:r w:rsidR="003550E3" w:rsidRPr="00133FC2">
              <w:rPr>
                <w:rFonts w:ascii="Merriweather" w:hAnsi="Merriweather" w:cs="Times New Roman"/>
                <w:bCs/>
                <w:color w:val="000000" w:themeColor="text1"/>
                <w:position w:val="1"/>
                <w:sz w:val="18"/>
                <w:szCs w:val="18"/>
              </w:rPr>
              <w:t>3500</w:t>
            </w:r>
            <w:r w:rsidR="005B45C4" w:rsidRPr="00133FC2">
              <w:rPr>
                <w:rFonts w:ascii="Merriweather" w:hAnsi="Merriweather" w:cs="Times New Roman"/>
                <w:bCs/>
                <w:color w:val="000000" w:themeColor="text1"/>
                <w:position w:val="1"/>
                <w:sz w:val="18"/>
                <w:szCs w:val="18"/>
              </w:rPr>
              <w:t xml:space="preserve"> riječi)</w:t>
            </w:r>
          </w:p>
        </w:tc>
      </w:tr>
      <w:tr w:rsidR="005B45C4" w:rsidRPr="00133FC2" w14:paraId="3E2B483B" w14:textId="77777777" w:rsidTr="00CE0C70">
        <w:tc>
          <w:tcPr>
            <w:tcW w:w="1732" w:type="dxa"/>
            <w:vMerge w:val="restart"/>
            <w:shd w:val="clear" w:color="auto" w:fill="F2F2F2" w:themeFill="background1" w:themeFillShade="F2"/>
          </w:tcPr>
          <w:p w14:paraId="216DE1F9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098" w:type="dxa"/>
            <w:gridSpan w:val="3"/>
            <w:vAlign w:val="center"/>
          </w:tcPr>
          <w:p w14:paraId="0F82DE9C" w14:textId="1C5B73BA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0-60</w:t>
            </w:r>
          </w:p>
        </w:tc>
        <w:tc>
          <w:tcPr>
            <w:tcW w:w="6237" w:type="dxa"/>
            <w:gridSpan w:val="26"/>
            <w:vAlign w:val="center"/>
          </w:tcPr>
          <w:p w14:paraId="2AA2AF49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% nedovoljan (1)</w:t>
            </w:r>
          </w:p>
        </w:tc>
      </w:tr>
      <w:tr w:rsidR="005B45C4" w:rsidRPr="00133FC2" w14:paraId="009E4CC1" w14:textId="77777777" w:rsidTr="00CE0C70">
        <w:tc>
          <w:tcPr>
            <w:tcW w:w="1732" w:type="dxa"/>
            <w:vMerge/>
            <w:shd w:val="clear" w:color="auto" w:fill="F2F2F2" w:themeFill="background1" w:themeFillShade="F2"/>
          </w:tcPr>
          <w:p w14:paraId="1D7EC891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23E120F1" w14:textId="188BA7E3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61-70</w:t>
            </w:r>
          </w:p>
        </w:tc>
        <w:tc>
          <w:tcPr>
            <w:tcW w:w="6237" w:type="dxa"/>
            <w:gridSpan w:val="26"/>
            <w:vAlign w:val="center"/>
          </w:tcPr>
          <w:p w14:paraId="0EB99538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% dovoljan (2)</w:t>
            </w:r>
          </w:p>
        </w:tc>
      </w:tr>
      <w:tr w:rsidR="005B45C4" w:rsidRPr="00133FC2" w14:paraId="6274C482" w14:textId="77777777" w:rsidTr="00CE0C70">
        <w:tc>
          <w:tcPr>
            <w:tcW w:w="1732" w:type="dxa"/>
            <w:vMerge/>
            <w:shd w:val="clear" w:color="auto" w:fill="F2F2F2" w:themeFill="background1" w:themeFillShade="F2"/>
          </w:tcPr>
          <w:p w14:paraId="53F33F8F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35DA3AAD" w14:textId="1BBD14AE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71-80</w:t>
            </w:r>
          </w:p>
        </w:tc>
        <w:tc>
          <w:tcPr>
            <w:tcW w:w="6237" w:type="dxa"/>
            <w:gridSpan w:val="26"/>
            <w:vAlign w:val="center"/>
          </w:tcPr>
          <w:p w14:paraId="1009C91B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% dobar (3)</w:t>
            </w:r>
          </w:p>
        </w:tc>
      </w:tr>
      <w:tr w:rsidR="005B45C4" w:rsidRPr="00133FC2" w14:paraId="16247368" w14:textId="77777777" w:rsidTr="00CE0C70">
        <w:tc>
          <w:tcPr>
            <w:tcW w:w="1732" w:type="dxa"/>
            <w:vMerge/>
            <w:shd w:val="clear" w:color="auto" w:fill="F2F2F2" w:themeFill="background1" w:themeFillShade="F2"/>
          </w:tcPr>
          <w:p w14:paraId="34A395CE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02B6CCDE" w14:textId="7F83B43C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81-90</w:t>
            </w:r>
          </w:p>
        </w:tc>
        <w:tc>
          <w:tcPr>
            <w:tcW w:w="6237" w:type="dxa"/>
            <w:gridSpan w:val="26"/>
            <w:vAlign w:val="center"/>
          </w:tcPr>
          <w:p w14:paraId="39DE09A3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% vrlo dobar (4)</w:t>
            </w:r>
          </w:p>
        </w:tc>
      </w:tr>
      <w:tr w:rsidR="005B45C4" w:rsidRPr="00133FC2" w14:paraId="3113ADFA" w14:textId="77777777" w:rsidTr="00CE0C70">
        <w:tc>
          <w:tcPr>
            <w:tcW w:w="1732" w:type="dxa"/>
            <w:vMerge/>
            <w:shd w:val="clear" w:color="auto" w:fill="F2F2F2" w:themeFill="background1" w:themeFillShade="F2"/>
          </w:tcPr>
          <w:p w14:paraId="0F6C2850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43533C23" w14:textId="526B48B4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91-100</w:t>
            </w:r>
          </w:p>
        </w:tc>
        <w:tc>
          <w:tcPr>
            <w:tcW w:w="6237" w:type="dxa"/>
            <w:gridSpan w:val="26"/>
            <w:vAlign w:val="center"/>
          </w:tcPr>
          <w:p w14:paraId="6B36D198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% izvrstan (5)</w:t>
            </w:r>
          </w:p>
        </w:tc>
      </w:tr>
      <w:tr w:rsidR="005B45C4" w:rsidRPr="00133FC2" w14:paraId="3B0BF709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5B06301A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Način praćenja kvalitete</w:t>
            </w:r>
          </w:p>
        </w:tc>
        <w:tc>
          <w:tcPr>
            <w:tcW w:w="7335" w:type="dxa"/>
            <w:gridSpan w:val="29"/>
            <w:vAlign w:val="center"/>
          </w:tcPr>
          <w:p w14:paraId="17703EF2" w14:textId="785A0240" w:rsidR="008E6D15" w:rsidRPr="00133FC2" w:rsidRDefault="002C0471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1538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studentska evaluacija nastave na razini Sveučilišta </w:t>
            </w:r>
          </w:p>
          <w:p w14:paraId="482B9A29" w14:textId="77777777" w:rsidR="008E6D15" w:rsidRPr="00133FC2" w:rsidRDefault="002C0471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studentska evaluacija nastave na razini sastavnice</w:t>
            </w:r>
          </w:p>
          <w:p w14:paraId="4BC60557" w14:textId="2AD11C27" w:rsidR="008E6D15" w:rsidRPr="00133FC2" w:rsidRDefault="002C0471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interna evaluacija nastave </w:t>
            </w:r>
          </w:p>
          <w:p w14:paraId="06C7AA68" w14:textId="77777777" w:rsidR="008E6D15" w:rsidRPr="00133FC2" w:rsidRDefault="002C0471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34E11C6B" w14:textId="77777777" w:rsidR="008E6D15" w:rsidRPr="00133FC2" w:rsidRDefault="002C0471" w:rsidP="008E6D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color w:val="000000" w:themeColor="text1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15" w:rsidRPr="00133FC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E6D15"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ostalo</w:t>
            </w:r>
          </w:p>
        </w:tc>
      </w:tr>
      <w:tr w:rsidR="005B45C4" w:rsidRPr="00133FC2" w14:paraId="3DDB9CE2" w14:textId="77777777" w:rsidTr="00133FC2">
        <w:tc>
          <w:tcPr>
            <w:tcW w:w="1732" w:type="dxa"/>
            <w:shd w:val="clear" w:color="auto" w:fill="F2F2F2" w:themeFill="background1" w:themeFillShade="F2"/>
          </w:tcPr>
          <w:p w14:paraId="5510D6A8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Napomena / </w:t>
            </w:r>
          </w:p>
          <w:p w14:paraId="0207C254" w14:textId="77777777" w:rsidR="008E6D15" w:rsidRPr="00133FC2" w:rsidRDefault="008E6D15" w:rsidP="008E6D1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Ostalo</w:t>
            </w:r>
          </w:p>
        </w:tc>
        <w:tc>
          <w:tcPr>
            <w:tcW w:w="7335" w:type="dxa"/>
            <w:gridSpan w:val="29"/>
            <w:shd w:val="clear" w:color="auto" w:fill="auto"/>
          </w:tcPr>
          <w:p w14:paraId="7EB6B514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 xml:space="preserve">Sukladno čl. 6. </w:t>
            </w:r>
            <w:r w:rsidRPr="00133FC2">
              <w:rPr>
                <w:rFonts w:ascii="Merriweather" w:eastAsia="MS Gothic" w:hAnsi="Merriweather" w:cs="Times New Roman"/>
                <w:i/>
                <w:color w:val="000000" w:themeColor="text1"/>
                <w:sz w:val="18"/>
                <w:szCs w:val="18"/>
              </w:rPr>
              <w:t>Etičkog kodeksa</w:t>
            </w: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24DB2AF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lastRenderedPageBreak/>
              <w:t xml:space="preserve">Prema čl. 14. </w:t>
            </w:r>
            <w:r w:rsidRPr="00133FC2">
              <w:rPr>
                <w:rFonts w:ascii="Merriweather" w:eastAsia="MS Gothic" w:hAnsi="Merriweather" w:cs="Times New Roman"/>
                <w:i/>
                <w:color w:val="000000" w:themeColor="text1"/>
                <w:sz w:val="18"/>
                <w:szCs w:val="18"/>
              </w:rPr>
              <w:t>Etičkog kodeksa</w:t>
            </w: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33FC2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 xml:space="preserve">[…] </w:t>
            </w:r>
          </w:p>
          <w:p w14:paraId="39CCBC11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E579F81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28F1513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6281B18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33FC2">
                <w:rPr>
                  <w:rStyle w:val="Hiperveza"/>
                  <w:rFonts w:ascii="Merriweather" w:eastAsia="MS Gothic" w:hAnsi="Merriweather" w:cs="Times New Roman"/>
                  <w:i/>
                  <w:color w:val="000000" w:themeColor="text1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>.</w:t>
            </w:r>
          </w:p>
          <w:p w14:paraId="0BA45379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</w:p>
          <w:p w14:paraId="3A22F4B7" w14:textId="4F42E604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>U elektronskoj komunikaciji bit će odgovarano samo na poruke koje dolaze s poznatih adresa s imenom i prezimenom, te koje su napisane primjerenim akademskim stilom.</w:t>
            </w:r>
          </w:p>
          <w:p w14:paraId="6A12ED50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</w:pPr>
          </w:p>
          <w:p w14:paraId="5B164F03" w14:textId="4A760A7C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>U kolegiju se koristi Merlin, sustav za e-učenje, pa su studentima/</w:t>
            </w:r>
            <w:r w:rsidR="005B45C4"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>studenti</w:t>
            </w:r>
            <w:r w:rsidRPr="00133FC2">
              <w:rPr>
                <w:rFonts w:ascii="Merriweather" w:eastAsia="MS Gothic" w:hAnsi="Merriweather" w:cs="Times New Roman"/>
                <w:color w:val="000000" w:themeColor="text1"/>
                <w:sz w:val="18"/>
                <w:szCs w:val="18"/>
              </w:rPr>
              <w:t xml:space="preserve">cama potrebni AAI računi. </w:t>
            </w:r>
          </w:p>
          <w:p w14:paraId="5A4E8F27" w14:textId="77777777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color w:val="000000" w:themeColor="text1"/>
                <w:sz w:val="18"/>
                <w:szCs w:val="18"/>
              </w:rPr>
            </w:pPr>
          </w:p>
          <w:p w14:paraId="73271849" w14:textId="557D6089" w:rsidR="008E6D15" w:rsidRPr="00133FC2" w:rsidRDefault="008E6D15" w:rsidP="008E6D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color w:val="000000" w:themeColor="text1"/>
                <w:sz w:val="18"/>
                <w:szCs w:val="18"/>
              </w:rPr>
            </w:pPr>
            <w:r w:rsidRPr="00133FC2">
              <w:rPr>
                <w:rFonts w:ascii="Merriweather" w:eastAsia="MS Gothic" w:hAnsi="Merriweather" w:cs="Times New Roman"/>
                <w:iCs/>
                <w:color w:val="000000" w:themeColor="text1"/>
                <w:sz w:val="18"/>
                <w:szCs w:val="18"/>
              </w:rPr>
              <w:t>Koristit ćemo i društvene mreže (</w:t>
            </w:r>
            <w:proofErr w:type="spellStart"/>
            <w:r w:rsidRPr="00133FC2">
              <w:rPr>
                <w:rFonts w:ascii="Merriweather" w:eastAsia="MS Gothic" w:hAnsi="Merriweather" w:cs="Times New Roman"/>
                <w:iCs/>
                <w:color w:val="000000" w:themeColor="text1"/>
                <w:sz w:val="18"/>
                <w:szCs w:val="18"/>
              </w:rPr>
              <w:t>facebook</w:t>
            </w:r>
            <w:proofErr w:type="spellEnd"/>
            <w:r w:rsidRPr="00133FC2">
              <w:rPr>
                <w:rFonts w:ascii="Merriweather" w:eastAsia="MS Gothic" w:hAnsi="Merriweather" w:cs="Times New Roman"/>
                <w:iCs/>
                <w:color w:val="000000" w:themeColor="text1"/>
                <w:sz w:val="18"/>
                <w:szCs w:val="18"/>
              </w:rPr>
              <w:t xml:space="preserve"> grupa za kolegij)</w:t>
            </w:r>
          </w:p>
        </w:tc>
      </w:tr>
    </w:tbl>
    <w:p w14:paraId="2D1E6764" w14:textId="77777777" w:rsidR="00794496" w:rsidRPr="00133FC2" w:rsidRDefault="00794496">
      <w:pPr>
        <w:rPr>
          <w:rFonts w:ascii="Merriweather" w:hAnsi="Merriweather" w:cs="Times New Roman"/>
          <w:color w:val="000000" w:themeColor="text1"/>
          <w:sz w:val="18"/>
          <w:szCs w:val="18"/>
        </w:rPr>
      </w:pPr>
    </w:p>
    <w:sectPr w:rsidR="00794496" w:rsidRPr="00133FC2" w:rsidSect="009C2FE2">
      <w:headerReference w:type="default" r:id="rId14"/>
      <w:pgSz w:w="11906" w:h="16838"/>
      <w:pgMar w:top="17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6127" w14:textId="77777777" w:rsidR="002C0471" w:rsidRDefault="002C0471" w:rsidP="009947BA">
      <w:pPr>
        <w:spacing w:before="0" w:after="0"/>
      </w:pPr>
      <w:r>
        <w:separator/>
      </w:r>
    </w:p>
  </w:endnote>
  <w:endnote w:type="continuationSeparator" w:id="0">
    <w:p w14:paraId="3F86109B" w14:textId="77777777" w:rsidR="002C0471" w:rsidRDefault="002C047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ADFD" w14:textId="77777777" w:rsidR="002C0471" w:rsidRDefault="002C0471" w:rsidP="009947BA">
      <w:pPr>
        <w:spacing w:before="0" w:after="0"/>
      </w:pPr>
      <w:r>
        <w:separator/>
      </w:r>
    </w:p>
  </w:footnote>
  <w:footnote w:type="continuationSeparator" w:id="0">
    <w:p w14:paraId="2D22488A" w14:textId="77777777" w:rsidR="002C0471" w:rsidRDefault="002C0471" w:rsidP="009947BA">
      <w:pPr>
        <w:spacing w:before="0" w:after="0"/>
      </w:pPr>
      <w:r>
        <w:continuationSeparator/>
      </w:r>
    </w:p>
  </w:footnote>
  <w:footnote w:id="1">
    <w:p w14:paraId="3CBE0CA5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83C6" w14:textId="0296FC82" w:rsidR="00FF1020" w:rsidRDefault="0079745E" w:rsidP="009C2FE2">
    <w:pPr>
      <w:pStyle w:val="Naslov2"/>
      <w:tabs>
        <w:tab w:val="left" w:pos="1418"/>
        <w:tab w:val="left" w:pos="6930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DCEDC" wp14:editId="26F5BF7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4" cy="1113154"/>
              <wp:effectExtent l="0" t="0" r="17780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954" cy="11131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5DA7B" w14:textId="2D239A04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C0DEAF9" wp14:editId="0CFBFAFF">
                                <wp:extent cx="724205" cy="782768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D8539C" w14:textId="77777777" w:rsidR="009C2FE2" w:rsidRDefault="009C2FE2" w:rsidP="007974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DCEDC" id="Rectangle 2" o:spid="_x0000_s1026" style="position:absolute;left:0;text-align:left;margin-left:-16.35pt;margin-top:-21.1pt;width:91.6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" strokecolor="white">
              <v:textbox>
                <w:txbxContent>
                  <w:p w14:paraId="7FF5DA7B" w14:textId="2D239A04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C0DEAF9" wp14:editId="0CFBFAFF">
                          <wp:extent cx="724205" cy="782768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D8539C" w14:textId="77777777" w:rsidR="009C2FE2" w:rsidRDefault="009C2FE2" w:rsidP="0079745E"/>
                </w:txbxContent>
              </v:textbox>
            </v:rect>
          </w:pict>
        </mc:Fallback>
      </mc:AlternateContent>
    </w:r>
    <w:r w:rsidR="009C2FE2">
      <w:rPr>
        <w:rFonts w:ascii="Merriweather" w:hAnsi="Merriweather"/>
        <w:sz w:val="18"/>
        <w:szCs w:val="20"/>
      </w:rPr>
      <w:tab/>
    </w:r>
  </w:p>
  <w:p w14:paraId="00D030A1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4DE640F7" w14:textId="77777777" w:rsidR="0079745E" w:rsidRDefault="0079745E" w:rsidP="0079745E">
    <w:pPr>
      <w:pStyle w:val="Zaglavlje"/>
    </w:pPr>
  </w:p>
  <w:p w14:paraId="15573194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ED8"/>
    <w:multiLevelType w:val="hybridMultilevel"/>
    <w:tmpl w:val="8FBC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1790"/>
    <w:multiLevelType w:val="hybridMultilevel"/>
    <w:tmpl w:val="66765D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DD7"/>
    <w:multiLevelType w:val="hybridMultilevel"/>
    <w:tmpl w:val="A658F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3BB5"/>
    <w:multiLevelType w:val="hybridMultilevel"/>
    <w:tmpl w:val="C46E5CA2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,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,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,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5A27"/>
    <w:multiLevelType w:val="multilevel"/>
    <w:tmpl w:val="AA34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1C4BFD"/>
    <w:multiLevelType w:val="hybridMultilevel"/>
    <w:tmpl w:val="002E4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60293"/>
    <w:multiLevelType w:val="hybridMultilevel"/>
    <w:tmpl w:val="69EA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12D1A"/>
    <w:multiLevelType w:val="hybridMultilevel"/>
    <w:tmpl w:val="D324A952"/>
    <w:lvl w:ilvl="0" w:tplc="D3701252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5E9"/>
    <w:multiLevelType w:val="hybridMultilevel"/>
    <w:tmpl w:val="8A460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448D"/>
    <w:multiLevelType w:val="hybridMultilevel"/>
    <w:tmpl w:val="33BC0E3A"/>
    <w:lvl w:ilvl="0" w:tplc="D3701252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449A7"/>
    <w:multiLevelType w:val="hybridMultilevel"/>
    <w:tmpl w:val="7EBA1814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176CD"/>
    <w:multiLevelType w:val="hybridMultilevel"/>
    <w:tmpl w:val="AF82C52E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64D60"/>
    <w:multiLevelType w:val="hybridMultilevel"/>
    <w:tmpl w:val="4F2CB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D3546"/>
    <w:multiLevelType w:val="hybridMultilevel"/>
    <w:tmpl w:val="4858B38A"/>
    <w:lvl w:ilvl="0" w:tplc="C980AD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7535D"/>
    <w:multiLevelType w:val="multilevel"/>
    <w:tmpl w:val="B692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C1E14"/>
    <w:multiLevelType w:val="hybridMultilevel"/>
    <w:tmpl w:val="25B84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81E62"/>
    <w:multiLevelType w:val="hybridMultilevel"/>
    <w:tmpl w:val="99BA0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4A75"/>
    <w:multiLevelType w:val="hybridMultilevel"/>
    <w:tmpl w:val="022A6BCC"/>
    <w:lvl w:ilvl="0" w:tplc="918896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6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17"/>
  </w:num>
  <w:num w:numId="16">
    <w:abstractNumId w:val="15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059A7"/>
    <w:rsid w:val="0001478E"/>
    <w:rsid w:val="00046E9F"/>
    <w:rsid w:val="000602F7"/>
    <w:rsid w:val="000C0578"/>
    <w:rsid w:val="000C6C00"/>
    <w:rsid w:val="000D4D75"/>
    <w:rsid w:val="000E17D4"/>
    <w:rsid w:val="000E1A66"/>
    <w:rsid w:val="0010332B"/>
    <w:rsid w:val="00116BE7"/>
    <w:rsid w:val="00133FC2"/>
    <w:rsid w:val="001443A2"/>
    <w:rsid w:val="00150B32"/>
    <w:rsid w:val="00197510"/>
    <w:rsid w:val="001A699C"/>
    <w:rsid w:val="001A6E41"/>
    <w:rsid w:val="001C7C51"/>
    <w:rsid w:val="001D69C5"/>
    <w:rsid w:val="001E2273"/>
    <w:rsid w:val="0020538A"/>
    <w:rsid w:val="00222B3E"/>
    <w:rsid w:val="00226462"/>
    <w:rsid w:val="0022722C"/>
    <w:rsid w:val="0028545A"/>
    <w:rsid w:val="002A0EEA"/>
    <w:rsid w:val="002C0471"/>
    <w:rsid w:val="002E1CE6"/>
    <w:rsid w:val="002E3E11"/>
    <w:rsid w:val="002F2D22"/>
    <w:rsid w:val="00310F9A"/>
    <w:rsid w:val="00326091"/>
    <w:rsid w:val="003550E3"/>
    <w:rsid w:val="00357643"/>
    <w:rsid w:val="00367B20"/>
    <w:rsid w:val="00367CA3"/>
    <w:rsid w:val="00371634"/>
    <w:rsid w:val="00386E9C"/>
    <w:rsid w:val="00393964"/>
    <w:rsid w:val="003C436B"/>
    <w:rsid w:val="003D103C"/>
    <w:rsid w:val="003D2298"/>
    <w:rsid w:val="003F11B6"/>
    <w:rsid w:val="003F17B8"/>
    <w:rsid w:val="003F277D"/>
    <w:rsid w:val="003F6A02"/>
    <w:rsid w:val="00411E61"/>
    <w:rsid w:val="00433B49"/>
    <w:rsid w:val="00452E5F"/>
    <w:rsid w:val="00453362"/>
    <w:rsid w:val="00461219"/>
    <w:rsid w:val="00470F6D"/>
    <w:rsid w:val="00483BC3"/>
    <w:rsid w:val="004B1B3D"/>
    <w:rsid w:val="004B2B89"/>
    <w:rsid w:val="004B553E"/>
    <w:rsid w:val="004B5B18"/>
    <w:rsid w:val="004C5A38"/>
    <w:rsid w:val="004C67D9"/>
    <w:rsid w:val="004E1E71"/>
    <w:rsid w:val="00507C65"/>
    <w:rsid w:val="00527C5F"/>
    <w:rsid w:val="005353ED"/>
    <w:rsid w:val="005514C3"/>
    <w:rsid w:val="00596FDE"/>
    <w:rsid w:val="005A157B"/>
    <w:rsid w:val="005B45C4"/>
    <w:rsid w:val="005C46F5"/>
    <w:rsid w:val="005E1668"/>
    <w:rsid w:val="005E5F80"/>
    <w:rsid w:val="005F6E0B"/>
    <w:rsid w:val="00613216"/>
    <w:rsid w:val="0062328F"/>
    <w:rsid w:val="00642BF9"/>
    <w:rsid w:val="006732AB"/>
    <w:rsid w:val="006841A0"/>
    <w:rsid w:val="00684BBC"/>
    <w:rsid w:val="00691455"/>
    <w:rsid w:val="006B2EFD"/>
    <w:rsid w:val="006B4920"/>
    <w:rsid w:val="006D77E7"/>
    <w:rsid w:val="006E2613"/>
    <w:rsid w:val="00700D7A"/>
    <w:rsid w:val="007152F6"/>
    <w:rsid w:val="00721260"/>
    <w:rsid w:val="007361E7"/>
    <w:rsid w:val="007368EB"/>
    <w:rsid w:val="00764BC7"/>
    <w:rsid w:val="0078125F"/>
    <w:rsid w:val="00794496"/>
    <w:rsid w:val="007967CC"/>
    <w:rsid w:val="0079745E"/>
    <w:rsid w:val="00797B40"/>
    <w:rsid w:val="007A3695"/>
    <w:rsid w:val="007B4D60"/>
    <w:rsid w:val="007C43A4"/>
    <w:rsid w:val="007D2A7E"/>
    <w:rsid w:val="007D4D2D"/>
    <w:rsid w:val="0083126C"/>
    <w:rsid w:val="00837E75"/>
    <w:rsid w:val="008653EC"/>
    <w:rsid w:val="00865776"/>
    <w:rsid w:val="00874D5D"/>
    <w:rsid w:val="00885753"/>
    <w:rsid w:val="0089017E"/>
    <w:rsid w:val="00891C60"/>
    <w:rsid w:val="008942F0"/>
    <w:rsid w:val="008C5A5C"/>
    <w:rsid w:val="008D45DB"/>
    <w:rsid w:val="008D7326"/>
    <w:rsid w:val="008E3462"/>
    <w:rsid w:val="008E6D15"/>
    <w:rsid w:val="0090214F"/>
    <w:rsid w:val="009163E6"/>
    <w:rsid w:val="009225E5"/>
    <w:rsid w:val="00925915"/>
    <w:rsid w:val="00946AF3"/>
    <w:rsid w:val="009718BE"/>
    <w:rsid w:val="009760E8"/>
    <w:rsid w:val="009947BA"/>
    <w:rsid w:val="00997F41"/>
    <w:rsid w:val="009A3A9D"/>
    <w:rsid w:val="009B74C6"/>
    <w:rsid w:val="009C2FE2"/>
    <w:rsid w:val="009C56B1"/>
    <w:rsid w:val="009C63C9"/>
    <w:rsid w:val="009D37C3"/>
    <w:rsid w:val="009D5226"/>
    <w:rsid w:val="009E2FD4"/>
    <w:rsid w:val="00A044F1"/>
    <w:rsid w:val="00A06750"/>
    <w:rsid w:val="00A9132B"/>
    <w:rsid w:val="00AA1A5A"/>
    <w:rsid w:val="00AD23FB"/>
    <w:rsid w:val="00AE6ED3"/>
    <w:rsid w:val="00AF37AF"/>
    <w:rsid w:val="00B349EB"/>
    <w:rsid w:val="00B41CF8"/>
    <w:rsid w:val="00B50F86"/>
    <w:rsid w:val="00B5232D"/>
    <w:rsid w:val="00B53CEE"/>
    <w:rsid w:val="00B64B1F"/>
    <w:rsid w:val="00B66BB7"/>
    <w:rsid w:val="00B71A57"/>
    <w:rsid w:val="00B71C73"/>
    <w:rsid w:val="00B7307A"/>
    <w:rsid w:val="00BE3635"/>
    <w:rsid w:val="00C02454"/>
    <w:rsid w:val="00C10137"/>
    <w:rsid w:val="00C30560"/>
    <w:rsid w:val="00C3477B"/>
    <w:rsid w:val="00C52E7E"/>
    <w:rsid w:val="00C6375B"/>
    <w:rsid w:val="00C77B89"/>
    <w:rsid w:val="00C85956"/>
    <w:rsid w:val="00C9733D"/>
    <w:rsid w:val="00CA3783"/>
    <w:rsid w:val="00CA5D3D"/>
    <w:rsid w:val="00CB1168"/>
    <w:rsid w:val="00CB23F4"/>
    <w:rsid w:val="00CE0C70"/>
    <w:rsid w:val="00CE7B88"/>
    <w:rsid w:val="00D136E4"/>
    <w:rsid w:val="00D5334D"/>
    <w:rsid w:val="00D5523D"/>
    <w:rsid w:val="00D853E3"/>
    <w:rsid w:val="00D944DF"/>
    <w:rsid w:val="00D96713"/>
    <w:rsid w:val="00DA3E8A"/>
    <w:rsid w:val="00DC321A"/>
    <w:rsid w:val="00DD110C"/>
    <w:rsid w:val="00DD5755"/>
    <w:rsid w:val="00DE6D53"/>
    <w:rsid w:val="00E06E39"/>
    <w:rsid w:val="00E07D73"/>
    <w:rsid w:val="00E17D18"/>
    <w:rsid w:val="00E23B77"/>
    <w:rsid w:val="00E30E67"/>
    <w:rsid w:val="00E42A16"/>
    <w:rsid w:val="00E4502F"/>
    <w:rsid w:val="00E8586F"/>
    <w:rsid w:val="00EB5A72"/>
    <w:rsid w:val="00ED43AD"/>
    <w:rsid w:val="00F02A8F"/>
    <w:rsid w:val="00F1580B"/>
    <w:rsid w:val="00F22855"/>
    <w:rsid w:val="00F26194"/>
    <w:rsid w:val="00F51070"/>
    <w:rsid w:val="00F513E0"/>
    <w:rsid w:val="00F566DA"/>
    <w:rsid w:val="00F82834"/>
    <w:rsid w:val="00F84F5E"/>
    <w:rsid w:val="00FC2198"/>
    <w:rsid w:val="00FC283E"/>
    <w:rsid w:val="00FE383F"/>
    <w:rsid w:val="00FF1020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F447D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B4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1D69C5"/>
    <w:pPr>
      <w:autoSpaceDE w:val="0"/>
      <w:autoSpaceDN w:val="0"/>
      <w:adjustRightInd w:val="0"/>
      <w:spacing w:before="0" w:after="0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89017E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1A6E41"/>
    <w:rPr>
      <w:color w:val="605E5C"/>
      <w:shd w:val="clear" w:color="auto" w:fill="E1DFDD"/>
    </w:rPr>
  </w:style>
  <w:style w:type="character" w:customStyle="1" w:styleId="a-size-large">
    <w:name w:val="a-size-large"/>
    <w:rsid w:val="005B45C4"/>
  </w:style>
  <w:style w:type="character" w:customStyle="1" w:styleId="Naslov1Char">
    <w:name w:val="Naslov 1 Char"/>
    <w:basedOn w:val="Zadanifontodlomka"/>
    <w:link w:val="Naslov1"/>
    <w:uiPriority w:val="9"/>
    <w:rsid w:val="005B4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6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66BB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Zadanifontodlomka"/>
    <w:rsid w:val="00B6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rbanci@unizd.hr" TargetMode="Externa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iterion.com/current/posts/560-vampyr-and-the-vampir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orngarden.com/vamp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nglistika.unizd.hr/ispitni-roko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95F3-539C-465F-BC18-01FACD81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6</cp:revision>
  <cp:lastPrinted>2021-02-12T11:27:00Z</cp:lastPrinted>
  <dcterms:created xsi:type="dcterms:W3CDTF">2025-01-20T17:24:00Z</dcterms:created>
  <dcterms:modified xsi:type="dcterms:W3CDTF">2025-01-23T13:11:00Z</dcterms:modified>
</cp:coreProperties>
</file>